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31A7311B" w:rsidR="00CF1EAE" w:rsidRPr="004A4B33" w:rsidRDefault="00CF1EAE" w:rsidP="00CF1EAE">
      <w:pPr>
        <w:pStyle w:val="CRCoverPage"/>
        <w:tabs>
          <w:tab w:val="right" w:pos="9639"/>
        </w:tabs>
        <w:spacing w:after="0"/>
        <w:rPr>
          <w:b/>
          <w:noProof/>
          <w:sz w:val="24"/>
          <w:szCs w:val="24"/>
        </w:rPr>
      </w:pPr>
      <w:bookmarkStart w:id="0" w:name="_Hlk115193383"/>
      <w:bookmarkEnd w:id="0"/>
      <w:r w:rsidRPr="00CE2705">
        <w:rPr>
          <w:b/>
          <w:noProof/>
          <w:sz w:val="24"/>
          <w:szCs w:val="24"/>
        </w:rPr>
        <w:t xml:space="preserve">3GPP TSG-RAN </w:t>
      </w:r>
      <w:r w:rsidRPr="00CE2705">
        <w:rPr>
          <w:rFonts w:hint="eastAsia"/>
          <w:b/>
          <w:noProof/>
          <w:sz w:val="24"/>
          <w:szCs w:val="24"/>
          <w:lang w:eastAsia="zh-CN"/>
        </w:rPr>
        <w:t>WG</w:t>
      </w:r>
      <w:r w:rsidR="00B55E00">
        <w:rPr>
          <w:b/>
          <w:noProof/>
          <w:sz w:val="24"/>
          <w:szCs w:val="24"/>
        </w:rPr>
        <w:t>2 Meeting #125</w:t>
      </w:r>
      <w:r w:rsidRPr="00CE2705">
        <w:rPr>
          <w:b/>
          <w:noProof/>
          <w:sz w:val="24"/>
          <w:szCs w:val="24"/>
        </w:rPr>
        <w:t>bis</w:t>
      </w:r>
      <w:r w:rsidRPr="00CE2705">
        <w:rPr>
          <w:b/>
          <w:i/>
          <w:noProof/>
          <w:sz w:val="24"/>
          <w:szCs w:val="24"/>
        </w:rPr>
        <w:tab/>
      </w:r>
      <w:r w:rsidR="00702913">
        <w:rPr>
          <w:b/>
          <w:noProof/>
          <w:sz w:val="24"/>
          <w:szCs w:val="24"/>
        </w:rPr>
        <w:t>R2-</w:t>
      </w:r>
      <w:r w:rsidR="00AB3609" w:rsidRPr="00AB3609">
        <w:t xml:space="preserve"> </w:t>
      </w:r>
      <w:r w:rsidR="00AB3609" w:rsidRPr="00AB3609">
        <w:rPr>
          <w:b/>
          <w:noProof/>
          <w:sz w:val="24"/>
          <w:szCs w:val="24"/>
        </w:rPr>
        <w:t>2403276</w:t>
      </w:r>
    </w:p>
    <w:p w14:paraId="1CD5986C" w14:textId="3E7AA2B0" w:rsidR="00CF1EAE" w:rsidRDefault="006D414C" w:rsidP="00CF1EAE">
      <w:pPr>
        <w:pStyle w:val="3GPPHeader"/>
        <w:rPr>
          <w:noProof/>
          <w:szCs w:val="24"/>
          <w:lang w:eastAsia="ko-KR"/>
        </w:rPr>
      </w:pPr>
      <w:r>
        <w:rPr>
          <w:noProof/>
          <w:szCs w:val="24"/>
          <w:lang w:eastAsia="ko-KR"/>
        </w:rPr>
        <w:t>Changsha</w:t>
      </w:r>
      <w:r w:rsidR="00B55E00">
        <w:rPr>
          <w:noProof/>
          <w:szCs w:val="24"/>
          <w:lang w:eastAsia="ko-KR"/>
        </w:rPr>
        <w:t>, China</w:t>
      </w:r>
      <w:r w:rsidR="00702913">
        <w:rPr>
          <w:noProof/>
          <w:szCs w:val="24"/>
          <w:lang w:eastAsia="ko-KR"/>
        </w:rPr>
        <w:t xml:space="preserve">, </w:t>
      </w:r>
      <w:r w:rsidR="00B55E00">
        <w:rPr>
          <w:noProof/>
          <w:szCs w:val="24"/>
          <w:lang w:eastAsia="ko-KR"/>
        </w:rPr>
        <w:t>April 15-19, 2024</w:t>
      </w:r>
    </w:p>
    <w:p w14:paraId="252563D4" w14:textId="77777777" w:rsidR="00E90E49" w:rsidRPr="00CE0424" w:rsidRDefault="00E90E49" w:rsidP="00357380">
      <w:pPr>
        <w:pStyle w:val="3GPPHeader"/>
      </w:pPr>
    </w:p>
    <w:p w14:paraId="267378A2" w14:textId="2D1E50A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44FE5">
        <w:rPr>
          <w:sz w:val="22"/>
          <w:szCs w:val="22"/>
        </w:rPr>
        <w:t>8.8.2</w:t>
      </w:r>
    </w:p>
    <w:p w14:paraId="36E7B6AB" w14:textId="21A8EF09" w:rsidR="00E90E49" w:rsidRPr="00CE0424" w:rsidRDefault="003D3C45" w:rsidP="00F64C2B">
      <w:pPr>
        <w:pStyle w:val="3GPPHeader"/>
        <w:rPr>
          <w:sz w:val="22"/>
          <w:szCs w:val="22"/>
        </w:rPr>
      </w:pPr>
      <w:r>
        <w:rPr>
          <w:sz w:val="22"/>
          <w:szCs w:val="22"/>
        </w:rPr>
        <w:t>Source:</w:t>
      </w:r>
      <w:r w:rsidR="00E90E49" w:rsidRPr="00CE0424">
        <w:rPr>
          <w:sz w:val="22"/>
          <w:szCs w:val="22"/>
        </w:rPr>
        <w:tab/>
      </w:r>
      <w:r w:rsidR="00B55E00">
        <w:rPr>
          <w:sz w:val="22"/>
          <w:szCs w:val="22"/>
        </w:rPr>
        <w:t>THALES</w:t>
      </w:r>
    </w:p>
    <w:p w14:paraId="72579376" w14:textId="343EE882" w:rsidR="00E90E49" w:rsidRPr="00CE0424" w:rsidRDefault="003D3C45" w:rsidP="00311702">
      <w:pPr>
        <w:pStyle w:val="3GPPHeader"/>
        <w:rPr>
          <w:sz w:val="22"/>
          <w:szCs w:val="22"/>
        </w:rPr>
      </w:pPr>
      <w:r>
        <w:rPr>
          <w:sz w:val="22"/>
          <w:szCs w:val="22"/>
        </w:rPr>
        <w:t>Title:</w:t>
      </w:r>
      <w:r w:rsidR="00E90E49" w:rsidRPr="00CE0424">
        <w:rPr>
          <w:sz w:val="22"/>
          <w:szCs w:val="22"/>
        </w:rPr>
        <w:tab/>
      </w:r>
      <w:r w:rsidR="00B55E00">
        <w:rPr>
          <w:sz w:val="22"/>
          <w:szCs w:val="22"/>
        </w:rPr>
        <w:t xml:space="preserve">Discussion on </w:t>
      </w:r>
      <w:r w:rsidR="006D414C">
        <w:rPr>
          <w:sz w:val="22"/>
          <w:szCs w:val="22"/>
        </w:rPr>
        <w:t>RAN2 Aspects for Downlink Coverage Enhancements</w:t>
      </w:r>
      <w:r w:rsidR="005F762B">
        <w:rPr>
          <w:sz w:val="22"/>
          <w:szCs w:val="22"/>
        </w:rPr>
        <w:t xml:space="preserve"> in NR NTN evolution</w:t>
      </w:r>
      <w:bookmarkStart w:id="1" w:name="_GoBack"/>
      <w:bookmarkEnd w:id="1"/>
    </w:p>
    <w:p w14:paraId="24C111CD" w14:textId="78C2490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55E00">
        <w:rPr>
          <w:sz w:val="22"/>
          <w:szCs w:val="22"/>
        </w:rPr>
        <w:t>Discussion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3764CB41" w14:textId="6E2E6AB3" w:rsidR="00CD1096" w:rsidRDefault="00CD1096" w:rsidP="00976D9B">
      <w:pPr>
        <w:pStyle w:val="BodyText"/>
      </w:pPr>
      <w:bookmarkStart w:id="2" w:name="_Ref178064866"/>
      <w:r>
        <w:t xml:space="preserve">The </w:t>
      </w:r>
      <w:r w:rsidR="00976D9B">
        <w:t xml:space="preserve">approved </w:t>
      </w:r>
      <w:r>
        <w:t xml:space="preserve">work item </w:t>
      </w:r>
      <w:r w:rsidR="008C279E">
        <w:t xml:space="preserve">justifications and </w:t>
      </w:r>
      <w:r w:rsidR="00976D9B">
        <w:t xml:space="preserve">objectives </w:t>
      </w:r>
      <w:r>
        <w:t xml:space="preserve">for NR NTN </w:t>
      </w:r>
      <w:r w:rsidR="00976D9B">
        <w:t>Evolution in Rel-19</w:t>
      </w:r>
      <w:r>
        <w:t xml:space="preserve"> [1] emphasizes </w:t>
      </w:r>
      <w:r w:rsidR="00206D87">
        <w:t>the need to accommodate satellite payload constraints which may limit the ability to have all its beams to be active at the nominal EIRP density and provide objectives for this Release :</w:t>
      </w:r>
    </w:p>
    <w:tbl>
      <w:tblPr>
        <w:tblStyle w:val="TableGrid"/>
        <w:tblW w:w="0" w:type="auto"/>
        <w:tblLook w:val="04A0" w:firstRow="1" w:lastRow="0" w:firstColumn="1" w:lastColumn="0" w:noHBand="0" w:noVBand="1"/>
      </w:tblPr>
      <w:tblGrid>
        <w:gridCol w:w="9629"/>
      </w:tblGrid>
      <w:tr w:rsidR="00976D9B" w14:paraId="3A93D382" w14:textId="77777777" w:rsidTr="00976D9B">
        <w:tc>
          <w:tcPr>
            <w:tcW w:w="9629" w:type="dxa"/>
          </w:tcPr>
          <w:p w14:paraId="1781EE9F" w14:textId="77777777" w:rsidR="00976D9B" w:rsidRPr="00976D9B" w:rsidRDefault="00976D9B" w:rsidP="00976D9B">
            <w:pPr>
              <w:numPr>
                <w:ilvl w:val="0"/>
                <w:numId w:val="32"/>
              </w:numPr>
              <w:spacing w:after="0"/>
              <w:jc w:val="left"/>
              <w:rPr>
                <w:rFonts w:eastAsia="Times New Roman"/>
                <w:sz w:val="20"/>
                <w:szCs w:val="20"/>
                <w:lang w:val="en-GB" w:eastAsia="zh-CN"/>
              </w:rPr>
            </w:pPr>
            <w:r w:rsidRPr="00976D9B">
              <w:rPr>
                <w:rFonts w:eastAsia="Times New Roman"/>
                <w:sz w:val="20"/>
                <w:szCs w:val="20"/>
                <w:lang w:val="en-GB" w:eastAsia="zh-CN"/>
              </w:rPr>
              <w:t xml:space="preserve">Offer optimized performance especially when addressing handset terminals (including smartphones with -5.5 </w:t>
            </w:r>
            <w:proofErr w:type="spellStart"/>
            <w:r w:rsidRPr="00976D9B">
              <w:rPr>
                <w:rFonts w:eastAsia="Times New Roman"/>
                <w:sz w:val="20"/>
                <w:szCs w:val="20"/>
                <w:lang w:val="en-GB" w:eastAsia="zh-CN"/>
              </w:rPr>
              <w:t>dBi</w:t>
            </w:r>
            <w:proofErr w:type="spellEnd"/>
            <w:r w:rsidRPr="00976D9B">
              <w:rPr>
                <w:rFonts w:eastAsia="Times New Roman"/>
                <w:sz w:val="20"/>
                <w:szCs w:val="20"/>
                <w:lang w:val="en-GB" w:eastAsia="zh-CN"/>
              </w:rPr>
              <w:t xml:space="preserve"> antenna gain) w.r.t. downlink coverage considering the NTN deployment constraints such as payload power limitation, large satellite foot print and limited feeder link bandwidth. DL coverage enhancements are needed to accommodate satellite payload constraints which may be unable to have all its beams active with the « nominal »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w:t>
            </w:r>
            <w:proofErr w:type="spellStart"/>
            <w:r w:rsidRPr="00976D9B">
              <w:rPr>
                <w:rFonts w:eastAsia="Times New Roman"/>
                <w:sz w:val="20"/>
                <w:szCs w:val="20"/>
                <w:lang w:val="en-GB" w:eastAsia="zh-CN"/>
              </w:rPr>
              <w:t>QoS</w:t>
            </w:r>
            <w:proofErr w:type="spellEnd"/>
            <w:r w:rsidRPr="00976D9B">
              <w:rPr>
                <w:rFonts w:eastAsia="Times New Roman"/>
                <w:sz w:val="20"/>
                <w:szCs w:val="20"/>
                <w:lang w:val="en-GB" w:eastAsia="zh-CN"/>
              </w:rPr>
              <w:t>.</w:t>
            </w:r>
          </w:p>
          <w:p w14:paraId="6EAC1151" w14:textId="77777777" w:rsidR="00976D9B" w:rsidRPr="00976D9B" w:rsidRDefault="00976D9B" w:rsidP="00976D9B">
            <w:pPr>
              <w:spacing w:after="0"/>
              <w:rPr>
                <w:rFonts w:eastAsia="Times New Roman"/>
                <w:sz w:val="20"/>
                <w:szCs w:val="20"/>
                <w:lang w:val="en-GB" w:eastAsia="zh-CN"/>
              </w:rPr>
            </w:pPr>
          </w:p>
          <w:p w14:paraId="5A213C2C" w14:textId="77777777" w:rsidR="00976D9B" w:rsidRPr="00976D9B" w:rsidRDefault="00976D9B" w:rsidP="00976D9B">
            <w:pPr>
              <w:ind w:firstLine="360"/>
              <w:rPr>
                <w:rFonts w:eastAsia="Times New Roman"/>
                <w:sz w:val="20"/>
                <w:szCs w:val="20"/>
                <w:lang w:val="en-GB" w:eastAsia="zh-CN"/>
              </w:rPr>
            </w:pPr>
            <w:r w:rsidRPr="00976D9B">
              <w:rPr>
                <w:rFonts w:eastAsia="Times New Roman"/>
                <w:sz w:val="20"/>
                <w:szCs w:val="20"/>
                <w:lang w:val="en-GB" w:eastAsia="zh-CN"/>
              </w:rPr>
              <w:t>DL coverage enhancements can be considered at both</w:t>
            </w:r>
          </w:p>
          <w:p w14:paraId="480E459E" w14:textId="77777777" w:rsidR="00976D9B" w:rsidRPr="00976D9B" w:rsidRDefault="00976D9B" w:rsidP="00976D9B">
            <w:pPr>
              <w:numPr>
                <w:ilvl w:val="0"/>
                <w:numId w:val="31"/>
              </w:numPr>
              <w:spacing w:after="0"/>
              <w:jc w:val="left"/>
              <w:rPr>
                <w:rFonts w:eastAsia="Times New Roman"/>
                <w:sz w:val="20"/>
                <w:szCs w:val="20"/>
                <w:lang w:val="en-GB" w:eastAsia="zh-CN"/>
              </w:rPr>
            </w:pPr>
            <w:r w:rsidRPr="00976D9B">
              <w:rPr>
                <w:rFonts w:eastAsia="Times New Roman"/>
                <w:sz w:val="20"/>
                <w:szCs w:val="20"/>
                <w:lang w:val="en-GB" w:eastAsia="zh-CN"/>
              </w:rPr>
              <w:t>Link level to improve the link margin of selected physical channels in order to accommodate the EIRP reduction in FR1-NTN. A link margin improvement for physical channels (e.g. PDSCH and PDCCH) may be considered without impact on SSB design.</w:t>
            </w:r>
            <w:r w:rsidRPr="00976D9B" w:rsidDel="00BC6EE0">
              <w:rPr>
                <w:rFonts w:eastAsia="Times New Roman"/>
                <w:sz w:val="20"/>
                <w:szCs w:val="20"/>
                <w:lang w:val="en-GB" w:eastAsia="zh-CN"/>
              </w:rPr>
              <w:t xml:space="preserve"> </w:t>
            </w:r>
          </w:p>
          <w:p w14:paraId="09AFDBE7" w14:textId="6996B313" w:rsidR="00976D9B" w:rsidRPr="00976D9B" w:rsidRDefault="00976D9B" w:rsidP="00976D9B">
            <w:pPr>
              <w:numPr>
                <w:ilvl w:val="0"/>
                <w:numId w:val="31"/>
              </w:numPr>
              <w:spacing w:after="0"/>
              <w:jc w:val="left"/>
              <w:rPr>
                <w:rFonts w:eastAsia="Times New Roman"/>
                <w:sz w:val="20"/>
                <w:szCs w:val="20"/>
                <w:lang w:val="en-GB" w:eastAsia="zh-CN"/>
              </w:rPr>
            </w:pPr>
            <w:r w:rsidRPr="00976D9B">
              <w:rPr>
                <w:rFonts w:eastAsia="Times New Roman"/>
                <w:sz w:val="20"/>
                <w:szCs w:val="20"/>
                <w:highlight w:val="yellow"/>
                <w:lang w:val="en-GB" w:eastAsia="zh-CN"/>
              </w:rPr>
              <w:t>System level to support an efficient dynamic and flexible power sharing between beams or different beam pattern/size</w:t>
            </w:r>
            <w:r w:rsidRPr="00976D9B">
              <w:rPr>
                <w:rFonts w:eastAsia="Times New Roman"/>
                <w:sz w:val="20"/>
                <w:szCs w:val="20"/>
                <w:lang w:val="en-GB" w:eastAsia="zh-CN"/>
              </w:rPr>
              <w:t xml:space="preserve"> (i.e., wide or narrow) across the satellite foot print for FR1-NTN and FR2-NTN.</w:t>
            </w:r>
          </w:p>
        </w:tc>
      </w:tr>
    </w:tbl>
    <w:p w14:paraId="68067DA1" w14:textId="5FA8348D" w:rsidR="00976D9B" w:rsidRDefault="00976D9B" w:rsidP="00976D9B">
      <w:pPr>
        <w:pStyle w:val="BodyText"/>
      </w:pPr>
    </w:p>
    <w:tbl>
      <w:tblPr>
        <w:tblStyle w:val="TableGrid"/>
        <w:tblW w:w="0" w:type="auto"/>
        <w:tblLook w:val="04A0" w:firstRow="1" w:lastRow="0" w:firstColumn="1" w:lastColumn="0" w:noHBand="0" w:noVBand="1"/>
      </w:tblPr>
      <w:tblGrid>
        <w:gridCol w:w="9629"/>
      </w:tblGrid>
      <w:tr w:rsidR="008C279E" w14:paraId="756E8D19" w14:textId="77777777" w:rsidTr="008C279E">
        <w:tc>
          <w:tcPr>
            <w:tcW w:w="9629" w:type="dxa"/>
          </w:tcPr>
          <w:p w14:paraId="2E8ED71E" w14:textId="77777777" w:rsidR="008C279E" w:rsidRPr="008C279E" w:rsidRDefault="008C279E" w:rsidP="00797770">
            <w:pPr>
              <w:numPr>
                <w:ilvl w:val="0"/>
                <w:numId w:val="33"/>
              </w:numPr>
              <w:spacing w:after="0" w:line="276" w:lineRule="auto"/>
              <w:jc w:val="left"/>
              <w:rPr>
                <w:rFonts w:eastAsia="Times New Roman"/>
                <w:sz w:val="20"/>
                <w:szCs w:val="20"/>
                <w:lang w:val="en-GB" w:eastAsia="zh-CN"/>
              </w:rPr>
            </w:pPr>
            <w:r w:rsidRPr="008C279E">
              <w:rPr>
                <w:rFonts w:eastAsia="Times New Roman"/>
                <w:sz w:val="20"/>
                <w:szCs w:val="20"/>
                <w:lang w:val="en-GB" w:eastAsia="zh-CN"/>
              </w:rPr>
              <w:t>Study and specify</w:t>
            </w:r>
            <w:bookmarkStart w:id="3" w:name="_Hlk153196886"/>
            <w:r w:rsidRPr="008C279E">
              <w:rPr>
                <w:rFonts w:eastAsia="Times New Roman"/>
                <w:sz w:val="20"/>
                <w:szCs w:val="20"/>
                <w:lang w:val="en-GB" w:eastAsia="zh-CN"/>
              </w:rPr>
              <w:t xml:space="preserve"> if beneficial</w:t>
            </w:r>
            <w:bookmarkEnd w:id="3"/>
            <w:r w:rsidRPr="008C279E">
              <w:rPr>
                <w:rFonts w:eastAsia="Times New Roman"/>
                <w:sz w:val="20"/>
                <w:szCs w:val="20"/>
                <w:lang w:val="en-GB" w:eastAsia="zh-CN"/>
              </w:rPr>
              <w:t xml:space="preserve"> downlink coverage enhancements targeting support for additional reference satellite payload parameters covering both GSO and NGSO constellations operating in FR1-NTN or FR2-NTN [RAN1, RAN2, RAN4]</w:t>
            </w:r>
          </w:p>
          <w:p w14:paraId="38DF6367"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CF54786" w14:textId="77777777" w:rsidR="008C279E" w:rsidRPr="00206D87"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206D87">
              <w:rPr>
                <w:rFonts w:ascii="Arial" w:eastAsia="Times New Roman" w:hAnsi="Arial"/>
                <w:sz w:val="20"/>
                <w:szCs w:val="20"/>
                <w:lang w:val="en-GB"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C5C91B"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 xml:space="preserve">Study and if needed specify solutions, including link level enhancements for FR1-NTN (e.g. for PDCCH, PDSCH) and/or system level enhancements for FR1-NTN and/or FR2-NTN, allowing dynamic and flexible power sharing between satellite beams or different satellite beam patterns/size </w:t>
            </w:r>
            <w:r w:rsidRPr="008C279E">
              <w:rPr>
                <w:rFonts w:ascii="Arial" w:eastAsia="Times New Roman" w:hAnsi="Arial"/>
                <w:sz w:val="20"/>
                <w:szCs w:val="20"/>
                <w:highlight w:val="yellow"/>
                <w:lang w:val="en-GB" w:eastAsia="zh-CN"/>
              </w:rPr>
              <w:lastRenderedPageBreak/>
              <w:t>(i.e. wide or narrow) across the satellite footprint</w:t>
            </w:r>
            <w:r w:rsidRPr="008C279E">
              <w:rPr>
                <w:rFonts w:ascii="Arial" w:eastAsia="Times New Roman" w:hAnsi="Arial"/>
                <w:sz w:val="20"/>
                <w:szCs w:val="20"/>
                <w:lang w:val="en-GB" w:eastAsia="zh-CN"/>
              </w:rPr>
              <w:t>.</w:t>
            </w:r>
          </w:p>
          <w:p w14:paraId="76C0DA29" w14:textId="77777777" w:rsidR="008C279E" w:rsidRPr="008C279E" w:rsidRDefault="008C279E" w:rsidP="008C279E">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Notes for this objective:</w:t>
            </w:r>
          </w:p>
          <w:p w14:paraId="5F7E506D"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SSB channel enhancement is not considered</w:t>
            </w:r>
          </w:p>
          <w:p w14:paraId="0BE0576B"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Antenna gain of UE shall be assumed to be -5.5dBi in case of smartphone in FR1-NTN, the UE is assumed to be a full duplex UE, and at least 2Rx are considered at the UE</w:t>
            </w:r>
          </w:p>
          <w:p w14:paraId="388653FA"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NGSO to be considered in priority: LEO Set-1 @ 600 km</w:t>
            </w:r>
          </w:p>
          <w:p w14:paraId="145068D4" w14:textId="77777777" w:rsidR="008C279E" w:rsidRPr="008C279E" w:rsidRDefault="008C279E" w:rsidP="008C279E">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Rel-18 network energy saving techniques should be considered as baseline in the system level study</w:t>
            </w:r>
          </w:p>
          <w:p w14:paraId="07D0EF07" w14:textId="77777777" w:rsidR="008C279E" w:rsidRPr="008C279E" w:rsidRDefault="008C279E" w:rsidP="00976D9B">
            <w:pPr>
              <w:pStyle w:val="BodyText"/>
              <w:rPr>
                <w:rFonts w:eastAsia="Times New Roman"/>
                <w:sz w:val="20"/>
                <w:szCs w:val="20"/>
                <w:lang w:val="en-GB"/>
              </w:rPr>
            </w:pPr>
          </w:p>
        </w:tc>
      </w:tr>
    </w:tbl>
    <w:p w14:paraId="52F4E0A2" w14:textId="70EFD17B" w:rsidR="00976D9B" w:rsidRDefault="00976D9B" w:rsidP="00976D9B">
      <w:pPr>
        <w:pStyle w:val="BodyText"/>
      </w:pPr>
    </w:p>
    <w:p w14:paraId="3B445571" w14:textId="0BC24127" w:rsidR="00206D87" w:rsidRDefault="00206D87" w:rsidP="00976D9B">
      <w:pPr>
        <w:pStyle w:val="BodyText"/>
      </w:pPr>
      <w:r>
        <w:t>As highlighted above, the RAN2 needs to provide solutions for DL coverage enhancements challenge:</w:t>
      </w:r>
    </w:p>
    <w:p w14:paraId="364A208D" w14:textId="18E1DD78" w:rsidR="00206D87" w:rsidRDefault="00206D87" w:rsidP="00206D87">
      <w:pPr>
        <w:pStyle w:val="BodyText"/>
        <w:numPr>
          <w:ilvl w:val="2"/>
          <w:numId w:val="33"/>
        </w:numPr>
      </w:pPr>
      <w:r>
        <w:t>Study and specify solutions including link level and or system level enhancements allowing dynamic and flexible power sharing between satellite beams or different satellite beam pattern/size across the satellite footprint. The LEO is considered in priority and the Rel-18 network energy saving techniques should be considered as baseline for the study.</w:t>
      </w:r>
    </w:p>
    <w:p w14:paraId="2BF9FAEB" w14:textId="724F097E" w:rsidR="00206D87" w:rsidRDefault="00206D87" w:rsidP="00206D87">
      <w:pPr>
        <w:pStyle w:val="BodyText"/>
      </w:pPr>
      <w:r>
        <w:t>RAN1 started the work at the RAN1#116 Athens meeting [2</w:t>
      </w:r>
      <w:proofErr w:type="gramStart"/>
      <w:r>
        <w:t>][</w:t>
      </w:r>
      <w:proofErr w:type="gramEnd"/>
      <w:r>
        <w:t>3]</w:t>
      </w:r>
      <w:r w:rsidR="00D04636">
        <w:t xml:space="preserve"> with the definition of reference satellite payload parameters.</w:t>
      </w:r>
    </w:p>
    <w:p w14:paraId="5D2C1F68" w14:textId="53B0000A" w:rsidR="00AB04F1" w:rsidRDefault="00AB04F1" w:rsidP="00206D87">
      <w:pPr>
        <w:pStyle w:val="BodyText"/>
      </w:pPr>
      <w:r>
        <w:t>In this contribution, we discuss the following aspects for the Downlink coverage enhancements for NTN:</w:t>
      </w:r>
    </w:p>
    <w:p w14:paraId="21FE5487" w14:textId="0D3242BF" w:rsidR="00AB04F1" w:rsidRDefault="00AB04F1" w:rsidP="00AB04F1">
      <w:pPr>
        <w:pStyle w:val="BodyText"/>
        <w:numPr>
          <w:ilvl w:val="2"/>
          <w:numId w:val="33"/>
        </w:numPr>
      </w:pPr>
      <w:r>
        <w:t>The satellite beam hoping, NR beams and NR cell to satellite beams mapping</w:t>
      </w:r>
    </w:p>
    <w:p w14:paraId="4A413DC4" w14:textId="5F8F5B28" w:rsidR="00AB04F1" w:rsidRDefault="00AB04F1" w:rsidP="00AB04F1">
      <w:pPr>
        <w:pStyle w:val="BodyText"/>
        <w:numPr>
          <w:ilvl w:val="2"/>
          <w:numId w:val="33"/>
        </w:numPr>
      </w:pPr>
      <w:r>
        <w:t xml:space="preserve">The </w:t>
      </w:r>
      <w:r w:rsidR="00622858">
        <w:t>potential enhancements at the system level</w:t>
      </w:r>
    </w:p>
    <w:p w14:paraId="38F91EE2" w14:textId="236A1236" w:rsidR="00976D9B" w:rsidRPr="00CE0424" w:rsidRDefault="00976D9B" w:rsidP="00976D9B">
      <w:pPr>
        <w:pStyle w:val="BodyText"/>
      </w:pPr>
    </w:p>
    <w:p w14:paraId="59E13DC4" w14:textId="230EBCFC" w:rsidR="004000E8" w:rsidRDefault="00230D18" w:rsidP="00CE0424">
      <w:pPr>
        <w:pStyle w:val="Heading1"/>
      </w:pPr>
      <w:r>
        <w:t>2</w:t>
      </w:r>
      <w:r>
        <w:tab/>
      </w:r>
      <w:r w:rsidR="004000E8" w:rsidRPr="00CE0424">
        <w:t>Discussion</w:t>
      </w:r>
      <w:bookmarkEnd w:id="2"/>
    </w:p>
    <w:p w14:paraId="33B85177" w14:textId="77777777" w:rsidR="006D4EC1" w:rsidRDefault="006D4EC1" w:rsidP="006D4EC1">
      <w:pPr>
        <w:rPr>
          <w:b/>
          <w:u w:val="single"/>
        </w:rPr>
      </w:pPr>
      <w:r w:rsidRPr="00A17289">
        <w:rPr>
          <w:b/>
          <w:u w:val="single"/>
        </w:rPr>
        <w:t>NR Beams and NR Cell to Satellite beams mapping</w:t>
      </w:r>
    </w:p>
    <w:p w14:paraId="221B2B8F" w14:textId="16ADBD0E" w:rsidR="006D4EC1" w:rsidRDefault="006D4EC1" w:rsidP="006D4EC1">
      <w:r>
        <w:t>In this Section, we first clarify the different options of mapping of NR beams and NR cells to satellite beams.</w:t>
      </w:r>
      <w:r w:rsidR="00EA175C">
        <w:t xml:space="preserve"> </w:t>
      </w:r>
      <w:r>
        <w:t>For the sake of clarify, the following definitions are recalled:</w:t>
      </w:r>
    </w:p>
    <w:p w14:paraId="0762C513" w14:textId="77777777" w:rsidR="006D4EC1" w:rsidRDefault="006D4EC1" w:rsidP="006D4EC1">
      <w:pPr>
        <w:pStyle w:val="ListParagraph"/>
        <w:numPr>
          <w:ilvl w:val="2"/>
          <w:numId w:val="33"/>
        </w:numPr>
      </w:pPr>
      <w:r w:rsidRPr="00E25E33">
        <w:rPr>
          <w:b/>
          <w:i/>
        </w:rPr>
        <w:t>Beam</w:t>
      </w:r>
      <w:r>
        <w:t>: A beam is the main lobe of the radiation pattern of an antenna array</w:t>
      </w:r>
    </w:p>
    <w:p w14:paraId="71CEC0AD" w14:textId="0D4711F2" w:rsidR="006D4EC1" w:rsidRDefault="006D4EC1" w:rsidP="006D4EC1">
      <w:pPr>
        <w:pStyle w:val="ListParagraph"/>
        <w:numPr>
          <w:ilvl w:val="2"/>
          <w:numId w:val="33"/>
        </w:numPr>
      </w:pPr>
      <w:r w:rsidRPr="00E25E33">
        <w:rPr>
          <w:b/>
          <w:i/>
        </w:rPr>
        <w:t>Antenna port</w:t>
      </w:r>
      <w:r w:rsidR="00EA175C">
        <w:t>: [</w:t>
      </w:r>
      <w:r w:rsidR="00462B7E" w:rsidRPr="00462B7E">
        <w:rPr>
          <w:lang w:val="en-US"/>
        </w:rPr>
        <w:t>5</w:t>
      </w:r>
      <w:r>
        <w:t>] An antenna port is defined such that the channel over which a symbol on the antenna port is conveyed can be inferred from the channel over which another symbol on the same antenna port is conveyed.</w:t>
      </w:r>
      <w:r w:rsidR="00EA175C" w:rsidRPr="00EA175C">
        <w:rPr>
          <w:lang w:val="en-US"/>
        </w:rPr>
        <w:t xml:space="preserve"> </w:t>
      </w:r>
      <w:r>
        <w:t>It is a logical entity distinguished by a separate Reference Signal sequence</w:t>
      </w:r>
    </w:p>
    <w:p w14:paraId="23C29261" w14:textId="77777777" w:rsidR="006D4EC1" w:rsidRDefault="006D4EC1" w:rsidP="006D4EC1">
      <w:pPr>
        <w:pStyle w:val="ListParagraph"/>
        <w:numPr>
          <w:ilvl w:val="2"/>
          <w:numId w:val="33"/>
        </w:numPr>
      </w:pPr>
      <w:r w:rsidRPr="00E25E33">
        <w:rPr>
          <w:b/>
          <w:i/>
        </w:rPr>
        <w:t>Satellite beam</w:t>
      </w:r>
      <w:r>
        <w:t>: a beam created by Satellite Active Antenna System. A satellite beam may not be identified by the UE</w:t>
      </w:r>
    </w:p>
    <w:p w14:paraId="7A764B82" w14:textId="77777777" w:rsidR="006D4EC1" w:rsidRDefault="006D4EC1" w:rsidP="006D4EC1">
      <w:pPr>
        <w:pStyle w:val="ListParagraph"/>
        <w:numPr>
          <w:ilvl w:val="2"/>
          <w:numId w:val="33"/>
        </w:numPr>
      </w:pPr>
      <w:r w:rsidRPr="00E25E33">
        <w:rPr>
          <w:b/>
          <w:i/>
        </w:rPr>
        <w:t>NR beam</w:t>
      </w:r>
      <w:r>
        <w:t>: a beam which is associated with an antenna port/CSI Reference signal.</w:t>
      </w:r>
    </w:p>
    <w:p w14:paraId="273BA3E1" w14:textId="77777777" w:rsidR="006D4EC1" w:rsidRDefault="006D4EC1" w:rsidP="006D4EC1"/>
    <w:p w14:paraId="360AA6B6" w14:textId="77777777" w:rsidR="006D4EC1" w:rsidRDefault="006D4EC1" w:rsidP="006D4EC1">
      <w:pPr>
        <w:keepNext/>
        <w:jc w:val="center"/>
      </w:pPr>
      <w:r>
        <w:rPr>
          <w:noProof/>
          <w:lang w:val="en-US" w:eastAsia="zh-CN"/>
        </w:rPr>
        <w:lastRenderedPageBreak/>
        <w:drawing>
          <wp:inline distT="0" distB="0" distL="0" distR="0" wp14:anchorId="78FCAC51" wp14:editId="106B9D9C">
            <wp:extent cx="4273550" cy="3889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3550" cy="3889375"/>
                    </a:xfrm>
                    <a:prstGeom prst="rect">
                      <a:avLst/>
                    </a:prstGeom>
                    <a:noFill/>
                  </pic:spPr>
                </pic:pic>
              </a:graphicData>
            </a:graphic>
          </wp:inline>
        </w:drawing>
      </w:r>
    </w:p>
    <w:p w14:paraId="51AA61E4" w14:textId="374260D2" w:rsidR="006D4EC1" w:rsidRDefault="006D4EC1" w:rsidP="006D4EC1">
      <w:pPr>
        <w:pStyle w:val="Caption"/>
        <w:jc w:val="center"/>
      </w:pPr>
      <w:r>
        <w:t xml:space="preserve">Figure </w:t>
      </w:r>
      <w:fldSimple w:instr=" SEQ Figure \* ARABIC ">
        <w:r w:rsidR="001F3F02">
          <w:rPr>
            <w:noProof/>
          </w:rPr>
          <w:t>1</w:t>
        </w:r>
      </w:fldSimple>
      <w:r>
        <w:t xml:space="preserve"> - </w:t>
      </w:r>
      <w:r w:rsidRPr="00A65472">
        <w:t>Total number of beams within the satellite target coverage area for LEO 600km in FR1</w:t>
      </w:r>
    </w:p>
    <w:p w14:paraId="107A5680" w14:textId="07CF0160" w:rsidR="006D4EC1" w:rsidRDefault="00EA175C" w:rsidP="006D4EC1">
      <w:r>
        <w:t>In the satellite coverage for LEO 600 km, there are 1058 possible beam footprint to be served by a NR beam as illustrated in the Figure above.</w:t>
      </w:r>
    </w:p>
    <w:p w14:paraId="40552AD7" w14:textId="77777777" w:rsidR="006D4EC1" w:rsidRDefault="006D4EC1" w:rsidP="006D4EC1">
      <w:r>
        <w:t>There are mainly 5 options which can be considered for the mapping of NR beams and NR cells to the satellite beams:</w:t>
      </w:r>
    </w:p>
    <w:p w14:paraId="1E5958BE" w14:textId="77777777" w:rsidR="006D4EC1" w:rsidRPr="004C44F8" w:rsidRDefault="006D4EC1" w:rsidP="006D4EC1">
      <w:pPr>
        <w:rPr>
          <w:b/>
        </w:rPr>
      </w:pPr>
      <w:r w:rsidRPr="004C44F8">
        <w:rPr>
          <w:b/>
        </w:rPr>
        <w:t xml:space="preserve">Option 1: Single NR cell per satellite </w:t>
      </w:r>
      <w:r>
        <w:rPr>
          <w:b/>
        </w:rPr>
        <w:t>beam and single NR beam cell:</w:t>
      </w:r>
    </w:p>
    <w:p w14:paraId="4AAFAD5C" w14:textId="77777777" w:rsidR="00E25E33" w:rsidRDefault="00E25E33" w:rsidP="00E25E33">
      <w:pPr>
        <w:keepNext/>
      </w:pPr>
      <w:r>
        <w:rPr>
          <w:rFonts w:eastAsia="PMingLiU"/>
          <w:noProof/>
          <w:lang w:val="en-US" w:eastAsia="zh-CN"/>
        </w:rPr>
        <w:drawing>
          <wp:inline distT="0" distB="0" distL="0" distR="0" wp14:anchorId="52D17A2C" wp14:editId="4948D6C8">
            <wp:extent cx="6026400" cy="185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6400" cy="1854000"/>
                    </a:xfrm>
                    <a:prstGeom prst="rect">
                      <a:avLst/>
                    </a:prstGeom>
                    <a:noFill/>
                  </pic:spPr>
                </pic:pic>
              </a:graphicData>
            </a:graphic>
          </wp:inline>
        </w:drawing>
      </w:r>
    </w:p>
    <w:p w14:paraId="509A8447" w14:textId="750C95AC" w:rsidR="00E25E33" w:rsidRDefault="00E25E33" w:rsidP="00E25E33">
      <w:pPr>
        <w:pStyle w:val="Caption"/>
        <w:jc w:val="center"/>
      </w:pPr>
      <w:r>
        <w:t xml:space="preserve">Figure </w:t>
      </w:r>
      <w:fldSimple w:instr=" SEQ Figure \* ARABIC ">
        <w:r w:rsidR="001F3F02">
          <w:rPr>
            <w:noProof/>
          </w:rPr>
          <w:t>2</w:t>
        </w:r>
      </w:fldSimple>
      <w:r>
        <w:t xml:space="preserve"> - </w:t>
      </w:r>
      <w:r w:rsidRPr="003304DA">
        <w:t>Option 1: Single NR cell per satellite beam and single NR beam cell</w:t>
      </w:r>
    </w:p>
    <w:p w14:paraId="0A29B776" w14:textId="77777777" w:rsidR="00EA175C" w:rsidRDefault="00EA175C" w:rsidP="006D4EC1"/>
    <w:p w14:paraId="64AE344F" w14:textId="5FEC5FF2" w:rsidR="006D4EC1" w:rsidRDefault="006D4EC1" w:rsidP="006D4EC1">
      <w:r>
        <w:t>Option (1) which might be considered as a baseline consist in one-to-one mapping of NR cells to Satellite beams. In option 1, the NR beamforming is not used; the cells are single NR beam cells. NR Beam management operation is not needed.</w:t>
      </w:r>
    </w:p>
    <w:p w14:paraId="29C11E0F" w14:textId="77777777" w:rsidR="006D4EC1" w:rsidRDefault="006D4EC1" w:rsidP="006D4EC1"/>
    <w:p w14:paraId="70AAE4C3" w14:textId="77777777" w:rsidR="006D4EC1" w:rsidRPr="004C44F8" w:rsidRDefault="006D4EC1" w:rsidP="006D4EC1">
      <w:pPr>
        <w:rPr>
          <w:b/>
        </w:rPr>
      </w:pPr>
      <w:r w:rsidRPr="004C44F8">
        <w:rPr>
          <w:b/>
        </w:rPr>
        <w:t>Option 2: Multi-Satellite beam NR cell and single NR beam cell: Cell splitting</w:t>
      </w:r>
    </w:p>
    <w:p w14:paraId="375E50EC" w14:textId="77777777" w:rsidR="00E25E33" w:rsidRDefault="00E25E33" w:rsidP="00E25E33">
      <w:pPr>
        <w:keepNext/>
        <w:jc w:val="center"/>
      </w:pPr>
      <w:r>
        <w:rPr>
          <w:noProof/>
          <w:lang w:val="en-US" w:eastAsia="zh-CN"/>
        </w:rPr>
        <w:lastRenderedPageBreak/>
        <w:drawing>
          <wp:inline distT="0" distB="0" distL="0" distR="0" wp14:anchorId="6C5E160C" wp14:editId="7080C77D">
            <wp:extent cx="6120765" cy="17429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42903"/>
                    </a:xfrm>
                    <a:prstGeom prst="rect">
                      <a:avLst/>
                    </a:prstGeom>
                    <a:noFill/>
                  </pic:spPr>
                </pic:pic>
              </a:graphicData>
            </a:graphic>
          </wp:inline>
        </w:drawing>
      </w:r>
    </w:p>
    <w:p w14:paraId="38533D29" w14:textId="6F16E36F" w:rsidR="00E25E33" w:rsidRDefault="00E25E33" w:rsidP="00E25E33">
      <w:pPr>
        <w:pStyle w:val="Caption"/>
        <w:jc w:val="center"/>
      </w:pPr>
      <w:r>
        <w:t xml:space="preserve">Figure </w:t>
      </w:r>
      <w:fldSimple w:instr=" SEQ Figure \* ARABIC ">
        <w:r w:rsidR="001F3F02">
          <w:rPr>
            <w:noProof/>
          </w:rPr>
          <w:t>3</w:t>
        </w:r>
      </w:fldSimple>
      <w:r>
        <w:t xml:space="preserve"> - </w:t>
      </w:r>
      <w:r w:rsidRPr="00AC286E">
        <w:t>Option 2: Multi-Satellite beam NR cell and single NR beam cell; Cell splitting</w:t>
      </w:r>
    </w:p>
    <w:p w14:paraId="24721BC4" w14:textId="77777777" w:rsidR="00E25E33" w:rsidRDefault="00E25E33" w:rsidP="006D4EC1"/>
    <w:p w14:paraId="6716F955" w14:textId="1F373828" w:rsidR="006D4EC1" w:rsidRDefault="006D4EC1" w:rsidP="006D4EC1">
      <w:r>
        <w:t>In Option (2), two or more satellite beams are used for the same PCI. This option can be useful to split the NR cell across several satellite beams (to extend cell coverage). Regular beam management operation (beam Indication, beam Measurements and reporting, beam recovery, tracking and refinement</w:t>
      </w:r>
      <w:proofErr w:type="gramStart"/>
      <w:r>
        <w:t>)  is</w:t>
      </w:r>
      <w:proofErr w:type="gramEnd"/>
      <w:r>
        <w:t xml:space="preserve"> not used. </w:t>
      </w:r>
      <w:proofErr w:type="gramStart"/>
      <w:r>
        <w:t>The  beam</w:t>
      </w:r>
      <w:proofErr w:type="gramEnd"/>
      <w:r>
        <w:t xml:space="preserve"> level mobility is not needed for the UE mobility within the cell. </w:t>
      </w:r>
    </w:p>
    <w:p w14:paraId="776832AD" w14:textId="77777777" w:rsidR="006D4EC1" w:rsidRDefault="006D4EC1" w:rsidP="006D4EC1">
      <w:r>
        <w:t xml:space="preserve">With Option 2, the nominal cell power is split between the satellite beams which may lead to a power reduction per beam. </w:t>
      </w:r>
    </w:p>
    <w:p w14:paraId="5F421372" w14:textId="77777777" w:rsidR="006D4EC1" w:rsidRDefault="006D4EC1" w:rsidP="006D4EC1"/>
    <w:p w14:paraId="04F0E026" w14:textId="77777777" w:rsidR="006D4EC1" w:rsidRPr="004C44F8" w:rsidRDefault="006D4EC1" w:rsidP="006D4EC1">
      <w:pPr>
        <w:rPr>
          <w:b/>
        </w:rPr>
      </w:pPr>
      <w:r w:rsidRPr="004C44F8">
        <w:rPr>
          <w:b/>
        </w:rPr>
        <w:t>Option 3: Multi-Satellite beam cell and multi NR beam cell:</w:t>
      </w:r>
    </w:p>
    <w:p w14:paraId="5353630C" w14:textId="77777777" w:rsidR="00E25E33" w:rsidRDefault="00E25E33" w:rsidP="00E25E33">
      <w:pPr>
        <w:keepNext/>
        <w:jc w:val="center"/>
      </w:pPr>
      <w:r>
        <w:rPr>
          <w:noProof/>
          <w:lang w:val="en-US" w:eastAsia="zh-CN"/>
        </w:rPr>
        <w:drawing>
          <wp:inline distT="0" distB="0" distL="0" distR="0" wp14:anchorId="764F970C" wp14:editId="6662B007">
            <wp:extent cx="6120765" cy="2002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002617"/>
                    </a:xfrm>
                    <a:prstGeom prst="rect">
                      <a:avLst/>
                    </a:prstGeom>
                    <a:noFill/>
                  </pic:spPr>
                </pic:pic>
              </a:graphicData>
            </a:graphic>
          </wp:inline>
        </w:drawing>
      </w:r>
    </w:p>
    <w:p w14:paraId="410BA1EB" w14:textId="590AC266" w:rsidR="00E25E33" w:rsidRDefault="00E25E33" w:rsidP="00E25E33">
      <w:pPr>
        <w:pStyle w:val="Caption"/>
        <w:jc w:val="center"/>
      </w:pPr>
      <w:r>
        <w:t xml:space="preserve">Figure </w:t>
      </w:r>
      <w:fldSimple w:instr=" SEQ Figure \* ARABIC ">
        <w:r w:rsidR="001F3F02">
          <w:rPr>
            <w:noProof/>
          </w:rPr>
          <w:t>4</w:t>
        </w:r>
      </w:fldSimple>
      <w:r>
        <w:t xml:space="preserve"> - </w:t>
      </w:r>
      <w:r w:rsidRPr="006A2D3B">
        <w:t>Option 3: Multi-Satellite beam cell and multi NR beam cell</w:t>
      </w:r>
    </w:p>
    <w:p w14:paraId="74E16784" w14:textId="77777777" w:rsidR="00E25E33" w:rsidRDefault="00E25E33" w:rsidP="006D4EC1"/>
    <w:p w14:paraId="27D3BC37" w14:textId="13C482FA" w:rsidR="006D4EC1" w:rsidRDefault="006D4EC1" w:rsidP="006D4EC1">
      <w:r>
        <w:t xml:space="preserve">Option (3) corresponds to a multi-NR beam cell: multiple NR beams per NR cell (typically 4 or 8 NR beams/cell in Frequency Range 1). With this option, the same cell (PCI) is mapped to two or more satellite beams. Each NR beam is transmitted using a satellite beam or multiple satellite beams. Option (3) is to be used with beam management operation. </w:t>
      </w:r>
    </w:p>
    <w:p w14:paraId="00E85C7B" w14:textId="77777777" w:rsidR="006D4EC1" w:rsidRDefault="006D4EC1" w:rsidP="006D4EC1">
      <w:r>
        <w:t>Beam sweeping will be used to transmit/receive beam formed NR channels and signals.</w:t>
      </w:r>
    </w:p>
    <w:p w14:paraId="69A26502" w14:textId="77777777" w:rsidR="006D4EC1" w:rsidRDefault="006D4EC1" w:rsidP="006D4EC1">
      <w:r>
        <w:t>The following two options (4 and 5) could be also considered for specific use cases/deployment: such as dense area and hotspots.</w:t>
      </w:r>
    </w:p>
    <w:p w14:paraId="1609F684" w14:textId="77777777" w:rsidR="006D4EC1" w:rsidRDefault="006D4EC1" w:rsidP="006D4EC1"/>
    <w:p w14:paraId="1742D1F0" w14:textId="77777777" w:rsidR="006D4EC1" w:rsidRPr="004C44F8" w:rsidRDefault="006D4EC1" w:rsidP="006D4EC1">
      <w:pPr>
        <w:rPr>
          <w:b/>
        </w:rPr>
      </w:pPr>
      <w:r w:rsidRPr="004C44F8">
        <w:rPr>
          <w:b/>
        </w:rPr>
        <w:t>Option 4: Multi NR cells per satellite beam:</w:t>
      </w:r>
    </w:p>
    <w:p w14:paraId="56C34959" w14:textId="77777777" w:rsidR="00E25E33" w:rsidRDefault="00E25E33" w:rsidP="00E25E33">
      <w:pPr>
        <w:keepNext/>
        <w:jc w:val="center"/>
      </w:pPr>
      <w:r>
        <w:rPr>
          <w:noProof/>
          <w:lang w:val="en-US" w:eastAsia="zh-CN"/>
        </w:rPr>
        <w:lastRenderedPageBreak/>
        <w:drawing>
          <wp:inline distT="0" distB="0" distL="0" distR="0" wp14:anchorId="18CDD7B9" wp14:editId="2BD98177">
            <wp:extent cx="6120765" cy="19309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30937"/>
                    </a:xfrm>
                    <a:prstGeom prst="rect">
                      <a:avLst/>
                    </a:prstGeom>
                    <a:noFill/>
                  </pic:spPr>
                </pic:pic>
              </a:graphicData>
            </a:graphic>
          </wp:inline>
        </w:drawing>
      </w:r>
    </w:p>
    <w:p w14:paraId="1CE1AD9B" w14:textId="4D9F3EA2" w:rsidR="00E25E33" w:rsidRDefault="00E25E33" w:rsidP="00E25E33">
      <w:pPr>
        <w:pStyle w:val="Caption"/>
        <w:jc w:val="center"/>
      </w:pPr>
      <w:r>
        <w:t xml:space="preserve">Figure </w:t>
      </w:r>
      <w:fldSimple w:instr=" SEQ Figure \* ARABIC ">
        <w:r w:rsidR="001F3F02">
          <w:rPr>
            <w:noProof/>
          </w:rPr>
          <w:t>5</w:t>
        </w:r>
      </w:fldSimple>
      <w:r>
        <w:t xml:space="preserve"> - </w:t>
      </w:r>
      <w:r w:rsidRPr="00785C17">
        <w:t>Option 4: Multi NR cells per satellite beam</w:t>
      </w:r>
    </w:p>
    <w:p w14:paraId="76BDDE45" w14:textId="77777777" w:rsidR="00E25E33" w:rsidRDefault="00E25E33" w:rsidP="006D4EC1"/>
    <w:p w14:paraId="797CAF90" w14:textId="39F13CFF" w:rsidR="006D4EC1" w:rsidRDefault="006D4EC1" w:rsidP="006D4EC1">
      <w:r>
        <w:t>Option (4) can be introduced for scalability: to have more than one NR cell per satellite beam, multiplexed in the frequency domain with different component carriers. With option (4) Single NR beam cells or multi NR beam cells can be deployed.</w:t>
      </w:r>
    </w:p>
    <w:p w14:paraId="5B044F16" w14:textId="36EC7DA6" w:rsidR="006D4EC1" w:rsidRDefault="006D4EC1" w:rsidP="006D4EC1"/>
    <w:p w14:paraId="4F5AE4BF" w14:textId="64B603D8" w:rsidR="006D4EC1" w:rsidRDefault="006D4EC1" w:rsidP="006D4EC1">
      <w:pPr>
        <w:rPr>
          <w:b/>
        </w:rPr>
      </w:pPr>
      <w:r w:rsidRPr="004C44F8">
        <w:rPr>
          <w:b/>
        </w:rPr>
        <w:t>Option 5: Multi NR cells split across satellite beams</w:t>
      </w:r>
    </w:p>
    <w:p w14:paraId="1130237E" w14:textId="77777777" w:rsidR="00E25E33" w:rsidRDefault="00E25E33" w:rsidP="00E25E33">
      <w:pPr>
        <w:keepNext/>
        <w:jc w:val="center"/>
      </w:pPr>
      <w:r>
        <w:rPr>
          <w:noProof/>
          <w:lang w:val="en-US" w:eastAsia="zh-CN"/>
        </w:rPr>
        <w:drawing>
          <wp:inline distT="0" distB="0" distL="0" distR="0" wp14:anchorId="4C4FD969" wp14:editId="2E547B78">
            <wp:extent cx="6120765" cy="19309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930937"/>
                    </a:xfrm>
                    <a:prstGeom prst="rect">
                      <a:avLst/>
                    </a:prstGeom>
                    <a:noFill/>
                  </pic:spPr>
                </pic:pic>
              </a:graphicData>
            </a:graphic>
          </wp:inline>
        </w:drawing>
      </w:r>
    </w:p>
    <w:p w14:paraId="7ECE52EA" w14:textId="500013FD" w:rsidR="00E25E33" w:rsidRDefault="00E25E33" w:rsidP="00E25E33">
      <w:pPr>
        <w:pStyle w:val="Caption"/>
        <w:jc w:val="center"/>
      </w:pPr>
      <w:r>
        <w:t xml:space="preserve">Figure </w:t>
      </w:r>
      <w:fldSimple w:instr=" SEQ Figure \* ARABIC ">
        <w:r w:rsidR="001F3F02">
          <w:rPr>
            <w:noProof/>
          </w:rPr>
          <w:t>6</w:t>
        </w:r>
      </w:fldSimple>
      <w:r>
        <w:t xml:space="preserve"> - </w:t>
      </w:r>
      <w:r w:rsidRPr="006771FD">
        <w:t>Option 5: Multi NR cells split across satellite beams</w:t>
      </w:r>
    </w:p>
    <w:p w14:paraId="35BE69D5" w14:textId="77777777" w:rsidR="00E25E33" w:rsidRPr="004C44F8" w:rsidRDefault="00E25E33" w:rsidP="006D4EC1">
      <w:pPr>
        <w:rPr>
          <w:b/>
        </w:rPr>
      </w:pPr>
    </w:p>
    <w:p w14:paraId="6D06407C" w14:textId="02D2A7FC" w:rsidR="006D4EC1" w:rsidRDefault="006D4EC1" w:rsidP="006D4EC1">
      <w:r>
        <w:t>Option (5) can be also for scalability to split several NR cells across different satellite beams with single NR beam cells or multi NR beam cells.</w:t>
      </w:r>
    </w:p>
    <w:p w14:paraId="66830F97" w14:textId="0D30E91A" w:rsidR="00DB03D4" w:rsidRDefault="00DB03D4" w:rsidP="00DB03D4">
      <w:pPr>
        <w:pStyle w:val="Observation"/>
      </w:pPr>
      <w:r>
        <w:t xml:space="preserve">Option 1 and Option 2 </w:t>
      </w:r>
      <w:r w:rsidR="00972891">
        <w:t>are supported in existing NR specifications and are baseline for NR NTN.</w:t>
      </w:r>
    </w:p>
    <w:p w14:paraId="4FAE0CB0" w14:textId="2D1DC1CA" w:rsidR="006D4EC1" w:rsidRDefault="006D4EC1" w:rsidP="00AB04F1">
      <w:pPr>
        <w:rPr>
          <w:b/>
          <w:u w:val="single"/>
        </w:rPr>
      </w:pPr>
    </w:p>
    <w:p w14:paraId="0774D921" w14:textId="7E385029" w:rsidR="00AB04F1" w:rsidRDefault="00AB04F1" w:rsidP="00AB04F1">
      <w:pPr>
        <w:rPr>
          <w:b/>
          <w:u w:val="single"/>
        </w:rPr>
      </w:pPr>
      <w:r w:rsidRPr="00AB04F1">
        <w:rPr>
          <w:b/>
          <w:u w:val="single"/>
        </w:rPr>
        <w:t>Satellite Beam Hoping</w:t>
      </w:r>
    </w:p>
    <w:p w14:paraId="7A030D88" w14:textId="4674AC36" w:rsidR="00BC5EB0" w:rsidRDefault="00BC5EB0" w:rsidP="00BC5EB0">
      <w:r>
        <w:t>Due to the large number of satellite beams to be served, the total power allocated to the satellite payload may be insufficient to have all beams active at the same time at the EIRP</w:t>
      </w:r>
      <w:r w:rsidR="00462B7E">
        <w:t xml:space="preserve"> density defined in TR 38.821 [6</w:t>
      </w:r>
      <w:r>
        <w:t>].</w:t>
      </w:r>
    </w:p>
    <w:p w14:paraId="7FAD9305" w14:textId="515AE043" w:rsidR="00BC5EB0" w:rsidRDefault="00BC5EB0" w:rsidP="00BC5EB0">
      <w:r>
        <w:t>For example, according to the reference satellite parameters defined in RAN1, the percentage of simultaneous active beams is from 1.5% to 10.02%.</w:t>
      </w:r>
      <w:r w:rsidR="00395F90">
        <w:t xml:space="preserve">in both S and </w:t>
      </w:r>
      <w:proofErr w:type="spellStart"/>
      <w:proofErr w:type="gramStart"/>
      <w:r w:rsidR="00395F90">
        <w:t>Ka</w:t>
      </w:r>
      <w:proofErr w:type="spellEnd"/>
      <w:r w:rsidR="00395F90">
        <w:t xml:space="preserve"> :</w:t>
      </w:r>
      <w:proofErr w:type="gramEnd"/>
    </w:p>
    <w:tbl>
      <w:tblPr>
        <w:tblStyle w:val="TableGrid"/>
        <w:tblW w:w="0" w:type="auto"/>
        <w:tblLayout w:type="fixed"/>
        <w:tblLook w:val="04A0" w:firstRow="1" w:lastRow="0" w:firstColumn="1" w:lastColumn="0" w:noHBand="0" w:noVBand="1"/>
      </w:tblPr>
      <w:tblGrid>
        <w:gridCol w:w="4495"/>
        <w:gridCol w:w="1283"/>
        <w:gridCol w:w="1284"/>
        <w:gridCol w:w="1283"/>
        <w:gridCol w:w="1284"/>
      </w:tblGrid>
      <w:tr w:rsidR="00BC5EB0" w14:paraId="520F260B" w14:textId="2EA31932" w:rsidTr="00F34CA2">
        <w:trPr>
          <w:trHeight w:val="640"/>
        </w:trPr>
        <w:tc>
          <w:tcPr>
            <w:tcW w:w="4495" w:type="dxa"/>
          </w:tcPr>
          <w:p w14:paraId="1F3D1295" w14:textId="77777777" w:rsidR="00BC5EB0" w:rsidRPr="00F34CA2" w:rsidRDefault="00BC5EB0" w:rsidP="00BC5EB0">
            <w:pPr>
              <w:rPr>
                <w:rFonts w:eastAsia="Times New Roman"/>
                <w:sz w:val="20"/>
                <w:szCs w:val="20"/>
                <w:lang w:val="en-GB"/>
              </w:rPr>
            </w:pPr>
          </w:p>
        </w:tc>
        <w:tc>
          <w:tcPr>
            <w:tcW w:w="1283" w:type="dxa"/>
          </w:tcPr>
          <w:p w14:paraId="04FEAD1B" w14:textId="6286FD84"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Set1-1 FR1</w:t>
            </w:r>
          </w:p>
        </w:tc>
        <w:tc>
          <w:tcPr>
            <w:tcW w:w="1284" w:type="dxa"/>
          </w:tcPr>
          <w:p w14:paraId="3943A985" w14:textId="516DA387"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Set1-2 FR1</w:t>
            </w:r>
          </w:p>
        </w:tc>
        <w:tc>
          <w:tcPr>
            <w:tcW w:w="1283" w:type="dxa"/>
          </w:tcPr>
          <w:p w14:paraId="73CB1C72" w14:textId="4CF6C738"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 1-3 FR1</w:t>
            </w:r>
          </w:p>
        </w:tc>
        <w:tc>
          <w:tcPr>
            <w:tcW w:w="1284" w:type="dxa"/>
          </w:tcPr>
          <w:p w14:paraId="420A53FA" w14:textId="5EE00072" w:rsidR="00BC5EB0" w:rsidRPr="00F34CA2" w:rsidRDefault="00BC5EB0" w:rsidP="00BC5EB0">
            <w:pPr>
              <w:rPr>
                <w:rFonts w:eastAsia="Times New Roman"/>
                <w:b/>
                <w:sz w:val="20"/>
                <w:szCs w:val="20"/>
                <w:lang w:val="en-GB"/>
              </w:rPr>
            </w:pPr>
            <w:r w:rsidRPr="00F34CA2">
              <w:rPr>
                <w:rFonts w:eastAsia="Times New Roman"/>
                <w:b/>
                <w:sz w:val="20"/>
                <w:szCs w:val="20"/>
                <w:lang w:val="en-GB"/>
              </w:rPr>
              <w:t>LEO600km Set1-1 FR2</w:t>
            </w:r>
          </w:p>
        </w:tc>
      </w:tr>
      <w:tr w:rsidR="00BC5EB0" w14:paraId="637F2045" w14:textId="21447C3B" w:rsidTr="00F34CA2">
        <w:trPr>
          <w:trHeight w:val="20"/>
        </w:trPr>
        <w:tc>
          <w:tcPr>
            <w:tcW w:w="4495" w:type="dxa"/>
          </w:tcPr>
          <w:p w14:paraId="6D19CD0E" w14:textId="7676F6FC" w:rsidR="00BC5EB0" w:rsidRPr="00F34CA2" w:rsidRDefault="00BC5EB0" w:rsidP="00BC5EB0">
            <w:pPr>
              <w:rPr>
                <w:rFonts w:eastAsia="Times New Roman"/>
                <w:b/>
                <w:sz w:val="20"/>
                <w:szCs w:val="20"/>
                <w:lang w:val="en-GB"/>
              </w:rPr>
            </w:pPr>
            <w:r w:rsidRPr="00F34CA2">
              <w:rPr>
                <w:rFonts w:eastAsia="Times New Roman"/>
                <w:b/>
                <w:sz w:val="20"/>
                <w:szCs w:val="20"/>
                <w:lang w:val="en-GB"/>
              </w:rPr>
              <w:t>Band</w:t>
            </w:r>
          </w:p>
        </w:tc>
        <w:tc>
          <w:tcPr>
            <w:tcW w:w="1283" w:type="dxa"/>
          </w:tcPr>
          <w:p w14:paraId="11DC804F" w14:textId="0165056D"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4" w:type="dxa"/>
          </w:tcPr>
          <w:p w14:paraId="533311AB" w14:textId="3D994EF1"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3" w:type="dxa"/>
          </w:tcPr>
          <w:p w14:paraId="6939A516" w14:textId="31C85BA6" w:rsidR="00BC5EB0" w:rsidRPr="00F34CA2" w:rsidRDefault="00BC5EB0" w:rsidP="00BC5EB0">
            <w:pPr>
              <w:rPr>
                <w:rFonts w:eastAsia="Times New Roman"/>
                <w:sz w:val="20"/>
                <w:szCs w:val="20"/>
                <w:lang w:val="en-GB"/>
              </w:rPr>
            </w:pPr>
            <w:r w:rsidRPr="00F34CA2">
              <w:rPr>
                <w:rFonts w:eastAsia="Times New Roman"/>
                <w:sz w:val="20"/>
                <w:szCs w:val="20"/>
                <w:lang w:val="en-GB"/>
              </w:rPr>
              <w:t>S</w:t>
            </w:r>
          </w:p>
        </w:tc>
        <w:tc>
          <w:tcPr>
            <w:tcW w:w="1284" w:type="dxa"/>
          </w:tcPr>
          <w:p w14:paraId="5B5EB82D" w14:textId="6DC656B6" w:rsidR="00BC5EB0" w:rsidRPr="00F34CA2" w:rsidRDefault="00BC5EB0" w:rsidP="00BC5EB0">
            <w:pPr>
              <w:rPr>
                <w:rFonts w:eastAsia="Times New Roman"/>
                <w:sz w:val="20"/>
                <w:szCs w:val="20"/>
                <w:lang w:val="en-GB"/>
              </w:rPr>
            </w:pPr>
            <w:proofErr w:type="spellStart"/>
            <w:r w:rsidRPr="00F34CA2">
              <w:rPr>
                <w:rFonts w:eastAsia="Times New Roman"/>
                <w:sz w:val="20"/>
                <w:szCs w:val="20"/>
                <w:lang w:val="en-GB"/>
              </w:rPr>
              <w:t>Ka</w:t>
            </w:r>
            <w:proofErr w:type="spellEnd"/>
          </w:p>
        </w:tc>
      </w:tr>
      <w:tr w:rsidR="00BC5EB0" w14:paraId="34B06614" w14:textId="5BCC80E5" w:rsidTr="00F34CA2">
        <w:trPr>
          <w:trHeight w:val="20"/>
        </w:trPr>
        <w:tc>
          <w:tcPr>
            <w:tcW w:w="4495" w:type="dxa"/>
            <w:vAlign w:val="center"/>
          </w:tcPr>
          <w:p w14:paraId="2A334BBD" w14:textId="2B0269DF" w:rsidR="00BC5EB0" w:rsidRPr="00F34CA2" w:rsidRDefault="00BC5EB0" w:rsidP="00BC5EB0">
            <w:pPr>
              <w:rPr>
                <w:rFonts w:eastAsia="Times New Roman"/>
                <w:b/>
                <w:sz w:val="20"/>
                <w:szCs w:val="20"/>
                <w:lang w:val="en-GB"/>
              </w:rPr>
            </w:pPr>
            <w:r w:rsidRPr="00F34CA2">
              <w:rPr>
                <w:rFonts w:eastAsia="Times New Roman"/>
                <w:b/>
                <w:sz w:val="20"/>
                <w:szCs w:val="20"/>
                <w:lang w:val="en-GB"/>
              </w:rPr>
              <w:lastRenderedPageBreak/>
              <w:t>Maximum Bandwidth per beam</w:t>
            </w:r>
          </w:p>
        </w:tc>
        <w:tc>
          <w:tcPr>
            <w:tcW w:w="1283" w:type="dxa"/>
            <w:vAlign w:val="center"/>
          </w:tcPr>
          <w:p w14:paraId="0CED600A" w14:textId="16A46B21" w:rsidR="00BC5EB0" w:rsidRPr="00BC5EB0" w:rsidRDefault="00BC5EB0" w:rsidP="00BC5EB0">
            <w:pPr>
              <w:rPr>
                <w:rFonts w:eastAsia="Times New Roman"/>
                <w:sz w:val="20"/>
                <w:szCs w:val="20"/>
                <w:lang w:val="en-GB"/>
              </w:rPr>
            </w:pPr>
            <w:r w:rsidRPr="00BC5EB0">
              <w:rPr>
                <w:rFonts w:eastAsia="Times New Roman"/>
                <w:sz w:val="20"/>
                <w:szCs w:val="20"/>
                <w:lang w:val="en-GB"/>
              </w:rPr>
              <w:t>5 MHz</w:t>
            </w:r>
          </w:p>
        </w:tc>
        <w:tc>
          <w:tcPr>
            <w:tcW w:w="1284" w:type="dxa"/>
            <w:vAlign w:val="center"/>
          </w:tcPr>
          <w:p w14:paraId="098A12F6" w14:textId="1F5ED426" w:rsidR="00BC5EB0" w:rsidRPr="00BC5EB0" w:rsidRDefault="00BC5EB0" w:rsidP="00BC5EB0">
            <w:pPr>
              <w:rPr>
                <w:rFonts w:eastAsia="Times New Roman"/>
                <w:sz w:val="20"/>
                <w:szCs w:val="20"/>
                <w:lang w:val="en-GB"/>
              </w:rPr>
            </w:pPr>
            <w:r w:rsidRPr="00F34CA2">
              <w:rPr>
                <w:rFonts w:eastAsia="Times New Roman"/>
                <w:sz w:val="20"/>
                <w:szCs w:val="20"/>
                <w:lang w:val="en-GB"/>
              </w:rPr>
              <w:t>5 MHz</w:t>
            </w:r>
          </w:p>
        </w:tc>
        <w:tc>
          <w:tcPr>
            <w:tcW w:w="1283" w:type="dxa"/>
            <w:vAlign w:val="center"/>
          </w:tcPr>
          <w:p w14:paraId="11062B1B" w14:textId="54CCA659" w:rsidR="00BC5EB0" w:rsidRPr="00BC5EB0" w:rsidRDefault="00BC5EB0" w:rsidP="00BC5EB0">
            <w:pPr>
              <w:rPr>
                <w:rFonts w:eastAsia="Times New Roman"/>
                <w:sz w:val="20"/>
                <w:szCs w:val="20"/>
                <w:lang w:val="en-GB"/>
              </w:rPr>
            </w:pPr>
            <w:r w:rsidRPr="00F34CA2">
              <w:rPr>
                <w:rFonts w:eastAsia="Times New Roman"/>
                <w:sz w:val="20"/>
                <w:szCs w:val="20"/>
                <w:lang w:val="en-GB"/>
              </w:rPr>
              <w:t>5 MHz</w:t>
            </w:r>
          </w:p>
        </w:tc>
        <w:tc>
          <w:tcPr>
            <w:tcW w:w="1284" w:type="dxa"/>
            <w:vAlign w:val="center"/>
          </w:tcPr>
          <w:p w14:paraId="4F79B645" w14:textId="1E38DF8D" w:rsidR="00BC5EB0" w:rsidRPr="00F34CA2" w:rsidRDefault="00BC5EB0" w:rsidP="00BC5EB0">
            <w:pPr>
              <w:rPr>
                <w:rFonts w:eastAsia="Times New Roman"/>
                <w:sz w:val="20"/>
                <w:szCs w:val="20"/>
                <w:lang w:val="en-GB"/>
              </w:rPr>
            </w:pPr>
            <w:r w:rsidRPr="00F34CA2">
              <w:rPr>
                <w:rFonts w:eastAsia="Times New Roman"/>
                <w:sz w:val="20"/>
                <w:szCs w:val="20"/>
                <w:lang w:val="en-GB"/>
              </w:rPr>
              <w:t>400 MHz</w:t>
            </w:r>
          </w:p>
        </w:tc>
      </w:tr>
      <w:tr w:rsidR="00BC5EB0" w14:paraId="2053529F" w14:textId="0B52502F" w:rsidTr="00F34CA2">
        <w:trPr>
          <w:trHeight w:val="20"/>
        </w:trPr>
        <w:tc>
          <w:tcPr>
            <w:tcW w:w="4495" w:type="dxa"/>
            <w:vAlign w:val="center"/>
          </w:tcPr>
          <w:p w14:paraId="6E48DABD" w14:textId="3CAE7FAB" w:rsidR="00BC5EB0" w:rsidRPr="00F34CA2" w:rsidRDefault="00BC5EB0" w:rsidP="00BC5EB0">
            <w:pPr>
              <w:rPr>
                <w:rFonts w:eastAsia="Times New Roman"/>
                <w:b/>
                <w:sz w:val="20"/>
                <w:szCs w:val="20"/>
                <w:lang w:val="en-GB"/>
              </w:rPr>
            </w:pPr>
            <w:r w:rsidRPr="00F34CA2">
              <w:rPr>
                <w:rFonts w:eastAsia="Times New Roman"/>
                <w:b/>
                <w:sz w:val="20"/>
                <w:szCs w:val="20"/>
                <w:lang w:val="en-GB"/>
              </w:rPr>
              <w:t>SCS</w:t>
            </w:r>
          </w:p>
        </w:tc>
        <w:tc>
          <w:tcPr>
            <w:tcW w:w="1283" w:type="dxa"/>
            <w:vAlign w:val="center"/>
          </w:tcPr>
          <w:p w14:paraId="7BFC7DD1" w14:textId="0D64A32F" w:rsidR="00BC5EB0" w:rsidRPr="00BC5EB0" w:rsidRDefault="00BC5EB0" w:rsidP="00BC5EB0">
            <w:pPr>
              <w:rPr>
                <w:rFonts w:eastAsia="Times New Roman"/>
                <w:sz w:val="20"/>
                <w:szCs w:val="20"/>
                <w:lang w:val="en-GB"/>
              </w:rPr>
            </w:pPr>
            <w:r w:rsidRPr="00BC5EB0">
              <w:rPr>
                <w:rFonts w:eastAsia="Times New Roman"/>
                <w:sz w:val="20"/>
                <w:szCs w:val="20"/>
                <w:lang w:val="en-GB"/>
              </w:rPr>
              <w:t>15 kHz</w:t>
            </w:r>
          </w:p>
        </w:tc>
        <w:tc>
          <w:tcPr>
            <w:tcW w:w="1284" w:type="dxa"/>
            <w:vAlign w:val="center"/>
          </w:tcPr>
          <w:p w14:paraId="2073B031" w14:textId="13FD8B60" w:rsidR="00BC5EB0" w:rsidRPr="00BC5EB0" w:rsidRDefault="00BC5EB0" w:rsidP="00BC5EB0">
            <w:pPr>
              <w:rPr>
                <w:rFonts w:eastAsia="Times New Roman"/>
                <w:sz w:val="20"/>
                <w:szCs w:val="20"/>
                <w:lang w:val="en-GB"/>
              </w:rPr>
            </w:pPr>
            <w:r w:rsidRPr="00F34CA2">
              <w:rPr>
                <w:rFonts w:eastAsia="Times New Roman"/>
                <w:sz w:val="20"/>
                <w:szCs w:val="20"/>
                <w:lang w:val="en-GB"/>
              </w:rPr>
              <w:t>15 kHz</w:t>
            </w:r>
          </w:p>
        </w:tc>
        <w:tc>
          <w:tcPr>
            <w:tcW w:w="1283" w:type="dxa"/>
            <w:vAlign w:val="center"/>
          </w:tcPr>
          <w:p w14:paraId="113B059F" w14:textId="4A168A16" w:rsidR="00BC5EB0" w:rsidRPr="00BC5EB0" w:rsidRDefault="00BC5EB0" w:rsidP="00BC5EB0">
            <w:pPr>
              <w:rPr>
                <w:rFonts w:eastAsia="Times New Roman"/>
                <w:sz w:val="20"/>
                <w:szCs w:val="20"/>
                <w:lang w:val="en-GB"/>
              </w:rPr>
            </w:pPr>
            <w:r w:rsidRPr="00F34CA2">
              <w:rPr>
                <w:rFonts w:eastAsia="Times New Roman"/>
                <w:sz w:val="20"/>
                <w:szCs w:val="20"/>
                <w:lang w:val="en-GB"/>
              </w:rPr>
              <w:t>15 kHz</w:t>
            </w:r>
          </w:p>
        </w:tc>
        <w:tc>
          <w:tcPr>
            <w:tcW w:w="1284" w:type="dxa"/>
            <w:vAlign w:val="center"/>
          </w:tcPr>
          <w:p w14:paraId="6FDAC9C1" w14:textId="06E4F6CC" w:rsidR="00BC5EB0" w:rsidRPr="00F34CA2" w:rsidRDefault="00BC5EB0" w:rsidP="00BC5EB0">
            <w:pPr>
              <w:rPr>
                <w:rFonts w:eastAsia="Times New Roman"/>
                <w:sz w:val="20"/>
                <w:szCs w:val="20"/>
                <w:lang w:val="en-GB"/>
              </w:rPr>
            </w:pPr>
            <w:r w:rsidRPr="00F34CA2">
              <w:rPr>
                <w:rFonts w:eastAsia="Times New Roman"/>
                <w:sz w:val="20"/>
                <w:szCs w:val="20"/>
                <w:lang w:val="en-GB"/>
              </w:rPr>
              <w:t>120 kHz</w:t>
            </w:r>
          </w:p>
        </w:tc>
      </w:tr>
      <w:tr w:rsidR="00BC5EB0" w14:paraId="3FD4B75E" w14:textId="377AD12C" w:rsidTr="00F34CA2">
        <w:trPr>
          <w:trHeight w:val="20"/>
        </w:trPr>
        <w:tc>
          <w:tcPr>
            <w:tcW w:w="4495" w:type="dxa"/>
            <w:vAlign w:val="center"/>
          </w:tcPr>
          <w:p w14:paraId="37955788" w14:textId="68D4F04E" w:rsidR="00BC5EB0" w:rsidRPr="00F34CA2" w:rsidRDefault="00BC5EB0" w:rsidP="00BC5EB0">
            <w:pPr>
              <w:rPr>
                <w:rFonts w:eastAsia="Times New Roman"/>
                <w:b/>
                <w:sz w:val="20"/>
                <w:szCs w:val="20"/>
                <w:lang w:val="en-GB"/>
              </w:rPr>
            </w:pPr>
            <w:r w:rsidRPr="00F34CA2">
              <w:rPr>
                <w:rFonts w:eastAsia="Times New Roman"/>
                <w:b/>
                <w:sz w:val="20"/>
                <w:szCs w:val="20"/>
                <w:lang w:val="en-GB"/>
              </w:rPr>
              <w:t>Beam size(Note 1)</w:t>
            </w:r>
          </w:p>
        </w:tc>
        <w:tc>
          <w:tcPr>
            <w:tcW w:w="1283" w:type="dxa"/>
            <w:vAlign w:val="center"/>
          </w:tcPr>
          <w:p w14:paraId="774BD7F7" w14:textId="4C13BCF2" w:rsidR="00BC5EB0" w:rsidRPr="00BC5EB0" w:rsidRDefault="00BC5EB0" w:rsidP="00BC5EB0">
            <w:pPr>
              <w:rPr>
                <w:rFonts w:eastAsia="Times New Roman"/>
                <w:sz w:val="20"/>
                <w:szCs w:val="20"/>
                <w:lang w:val="en-GB"/>
              </w:rPr>
            </w:pPr>
            <w:r w:rsidRPr="00BC5EB0">
              <w:rPr>
                <w:rFonts w:eastAsia="Times New Roman"/>
                <w:sz w:val="20"/>
                <w:szCs w:val="20"/>
                <w:lang w:val="en-GB"/>
              </w:rPr>
              <w:t>50km</w:t>
            </w:r>
          </w:p>
        </w:tc>
        <w:tc>
          <w:tcPr>
            <w:tcW w:w="1284" w:type="dxa"/>
            <w:vAlign w:val="center"/>
          </w:tcPr>
          <w:p w14:paraId="33A91D96" w14:textId="00D8A5FD" w:rsidR="00BC5EB0" w:rsidRPr="00BC5EB0" w:rsidRDefault="00BC5EB0" w:rsidP="00BC5EB0">
            <w:pPr>
              <w:rPr>
                <w:rFonts w:eastAsia="Times New Roman"/>
                <w:sz w:val="20"/>
                <w:szCs w:val="20"/>
                <w:lang w:val="en-GB"/>
              </w:rPr>
            </w:pPr>
            <w:r w:rsidRPr="00F34CA2">
              <w:rPr>
                <w:rFonts w:eastAsia="Times New Roman"/>
                <w:sz w:val="20"/>
                <w:szCs w:val="20"/>
                <w:lang w:val="en-GB"/>
              </w:rPr>
              <w:t>50km</w:t>
            </w:r>
          </w:p>
        </w:tc>
        <w:tc>
          <w:tcPr>
            <w:tcW w:w="1283" w:type="dxa"/>
            <w:vAlign w:val="center"/>
          </w:tcPr>
          <w:p w14:paraId="79E0CAE5" w14:textId="5DBC3B18" w:rsidR="00BC5EB0" w:rsidRPr="00BC5EB0" w:rsidRDefault="00BC5EB0" w:rsidP="00BC5EB0">
            <w:pPr>
              <w:rPr>
                <w:rFonts w:eastAsia="Times New Roman"/>
                <w:sz w:val="20"/>
                <w:szCs w:val="20"/>
                <w:lang w:val="en-GB"/>
              </w:rPr>
            </w:pPr>
            <w:r w:rsidRPr="00F34CA2">
              <w:rPr>
                <w:rFonts w:eastAsia="Times New Roman"/>
                <w:sz w:val="20"/>
                <w:szCs w:val="20"/>
                <w:lang w:val="en-GB"/>
              </w:rPr>
              <w:t>50km</w:t>
            </w:r>
          </w:p>
        </w:tc>
        <w:tc>
          <w:tcPr>
            <w:tcW w:w="1284" w:type="dxa"/>
            <w:vAlign w:val="center"/>
          </w:tcPr>
          <w:p w14:paraId="7DB759BA" w14:textId="18DCAA08" w:rsidR="00BC5EB0" w:rsidRPr="00F34CA2" w:rsidRDefault="00BC5EB0" w:rsidP="00BC5EB0">
            <w:pPr>
              <w:rPr>
                <w:rFonts w:eastAsia="Times New Roman"/>
                <w:sz w:val="20"/>
                <w:szCs w:val="20"/>
                <w:lang w:val="en-GB"/>
              </w:rPr>
            </w:pPr>
            <w:r w:rsidRPr="00F34CA2">
              <w:rPr>
                <w:rFonts w:eastAsia="Times New Roman"/>
                <w:sz w:val="20"/>
                <w:szCs w:val="20"/>
                <w:lang w:val="en-GB"/>
              </w:rPr>
              <w:t>TBD in next meeting</w:t>
            </w:r>
          </w:p>
        </w:tc>
      </w:tr>
      <w:tr w:rsidR="001F3F02" w14:paraId="39D60F8D" w14:textId="7DFA1F1D" w:rsidTr="001F3F02">
        <w:trPr>
          <w:trHeight w:val="20"/>
        </w:trPr>
        <w:tc>
          <w:tcPr>
            <w:tcW w:w="4495" w:type="dxa"/>
            <w:vAlign w:val="center"/>
          </w:tcPr>
          <w:p w14:paraId="5E8B5482" w14:textId="2C447D3C" w:rsidR="001F3F02" w:rsidRPr="00F34CA2" w:rsidRDefault="001F3F02" w:rsidP="00BC5EB0">
            <w:pPr>
              <w:rPr>
                <w:rFonts w:eastAsia="Times New Roman"/>
                <w:b/>
                <w:sz w:val="20"/>
                <w:szCs w:val="20"/>
                <w:lang w:val="en-GB"/>
              </w:rPr>
            </w:pPr>
            <w:r w:rsidRPr="00F34CA2">
              <w:rPr>
                <w:rFonts w:eastAsia="Times New Roman"/>
                <w:b/>
                <w:sz w:val="20"/>
                <w:szCs w:val="20"/>
                <w:lang w:val="en-GB"/>
              </w:rPr>
              <w:t>Satellite EIRP density /beam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/MHz)</w:t>
            </w:r>
          </w:p>
        </w:tc>
        <w:tc>
          <w:tcPr>
            <w:tcW w:w="1283" w:type="dxa"/>
            <w:vAlign w:val="center"/>
          </w:tcPr>
          <w:p w14:paraId="2235E462" w14:textId="5A854129" w:rsidR="001F3F02" w:rsidRPr="00BC5EB0" w:rsidRDefault="001F3F02" w:rsidP="00BC5EB0">
            <w:pPr>
              <w:rPr>
                <w:rFonts w:eastAsia="Times New Roman"/>
                <w:sz w:val="20"/>
                <w:szCs w:val="20"/>
                <w:lang w:val="en-GB"/>
              </w:rPr>
            </w:pPr>
            <w:r w:rsidRPr="00BC5EB0">
              <w:rPr>
                <w:rFonts w:eastAsia="Times New Roman"/>
                <w:sz w:val="20"/>
                <w:szCs w:val="20"/>
                <w:lang w:val="en-GB"/>
              </w:rPr>
              <w:t>34</w:t>
            </w:r>
          </w:p>
        </w:tc>
        <w:tc>
          <w:tcPr>
            <w:tcW w:w="1284" w:type="dxa"/>
            <w:vAlign w:val="center"/>
          </w:tcPr>
          <w:p w14:paraId="08873F53" w14:textId="126492A9" w:rsidR="001F3F02" w:rsidRPr="00BC5EB0" w:rsidRDefault="001F3F02" w:rsidP="00BC5EB0">
            <w:pPr>
              <w:rPr>
                <w:rFonts w:eastAsia="Times New Roman"/>
                <w:sz w:val="20"/>
                <w:szCs w:val="20"/>
                <w:lang w:val="en-GB"/>
              </w:rPr>
            </w:pPr>
            <w:r w:rsidRPr="00F34CA2">
              <w:rPr>
                <w:rFonts w:eastAsia="Times New Roman"/>
                <w:sz w:val="20"/>
                <w:szCs w:val="20"/>
                <w:lang w:val="en-GB"/>
              </w:rPr>
              <w:t>34</w:t>
            </w:r>
          </w:p>
        </w:tc>
        <w:tc>
          <w:tcPr>
            <w:tcW w:w="1283" w:type="dxa"/>
            <w:vAlign w:val="center"/>
          </w:tcPr>
          <w:p w14:paraId="4794FDB6" w14:textId="1933DE0A" w:rsidR="001F3F02" w:rsidRPr="00BC5EB0" w:rsidRDefault="001F3F02" w:rsidP="00BC5EB0">
            <w:pPr>
              <w:rPr>
                <w:rFonts w:eastAsia="Times New Roman"/>
                <w:sz w:val="20"/>
                <w:szCs w:val="20"/>
                <w:lang w:val="en-GB"/>
              </w:rPr>
            </w:pPr>
            <w:r w:rsidRPr="00F34CA2">
              <w:rPr>
                <w:rFonts w:eastAsia="Times New Roman"/>
                <w:sz w:val="20"/>
                <w:szCs w:val="20"/>
                <w:lang w:val="en-GB"/>
              </w:rPr>
              <w:t>26</w:t>
            </w:r>
          </w:p>
        </w:tc>
        <w:tc>
          <w:tcPr>
            <w:tcW w:w="1284" w:type="dxa"/>
            <w:vMerge w:val="restart"/>
            <w:vAlign w:val="center"/>
          </w:tcPr>
          <w:p w14:paraId="7F88A71F" w14:textId="02BAD869" w:rsidR="001F3F02" w:rsidRPr="00F34CA2" w:rsidRDefault="001F3F02" w:rsidP="001F3F02">
            <w:pPr>
              <w:jc w:val="center"/>
              <w:rPr>
                <w:rFonts w:eastAsia="Times New Roman"/>
                <w:sz w:val="20"/>
                <w:szCs w:val="20"/>
                <w:lang w:val="en-GB"/>
              </w:rPr>
            </w:pPr>
            <w:r>
              <w:rPr>
                <w:rFonts w:eastAsia="Times New Roman"/>
                <w:sz w:val="20"/>
                <w:szCs w:val="20"/>
                <w:lang w:val="en-GB"/>
              </w:rPr>
              <w:t>TBD</w:t>
            </w:r>
          </w:p>
        </w:tc>
      </w:tr>
      <w:tr w:rsidR="001F3F02" w14:paraId="45C32B96" w14:textId="38805FC0" w:rsidTr="00F34CA2">
        <w:trPr>
          <w:trHeight w:val="20"/>
        </w:trPr>
        <w:tc>
          <w:tcPr>
            <w:tcW w:w="4495" w:type="dxa"/>
            <w:vAlign w:val="center"/>
          </w:tcPr>
          <w:p w14:paraId="641F654B" w14:textId="45219DFB" w:rsidR="001F3F02" w:rsidRPr="00F34CA2" w:rsidRDefault="001F3F02" w:rsidP="00BC5EB0">
            <w:pPr>
              <w:rPr>
                <w:rFonts w:eastAsia="Times New Roman"/>
                <w:b/>
                <w:sz w:val="20"/>
                <w:szCs w:val="20"/>
                <w:lang w:val="en-GB"/>
              </w:rPr>
            </w:pPr>
            <w:r w:rsidRPr="00F34CA2">
              <w:rPr>
                <w:rFonts w:eastAsia="Times New Roman"/>
                <w:b/>
                <w:sz w:val="20"/>
                <w:szCs w:val="20"/>
                <w:lang w:val="en-GB"/>
              </w:rPr>
              <w:t>Payload Total DL power level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w:t>
            </w:r>
          </w:p>
        </w:tc>
        <w:tc>
          <w:tcPr>
            <w:tcW w:w="1283" w:type="dxa"/>
            <w:vAlign w:val="center"/>
          </w:tcPr>
          <w:p w14:paraId="237DDC9E" w14:textId="35B68917" w:rsidR="001F3F02" w:rsidRPr="00BC5EB0" w:rsidRDefault="001F3F02" w:rsidP="00BC5EB0">
            <w:pPr>
              <w:rPr>
                <w:rFonts w:eastAsia="Times New Roman"/>
                <w:sz w:val="20"/>
                <w:szCs w:val="20"/>
                <w:lang w:val="en-GB"/>
              </w:rPr>
            </w:pPr>
            <w:r w:rsidRPr="00BC5EB0">
              <w:rPr>
                <w:rFonts w:eastAsia="Times New Roman"/>
                <w:sz w:val="20"/>
                <w:szCs w:val="20"/>
                <w:lang w:val="en-GB"/>
              </w:rPr>
              <w:t>31.24</w:t>
            </w:r>
          </w:p>
        </w:tc>
        <w:tc>
          <w:tcPr>
            <w:tcW w:w="1284" w:type="dxa"/>
            <w:vAlign w:val="center"/>
          </w:tcPr>
          <w:p w14:paraId="2E85623B" w14:textId="375B1644" w:rsidR="001F3F02" w:rsidRPr="00BC5EB0" w:rsidRDefault="001F3F02" w:rsidP="00BC5EB0">
            <w:pPr>
              <w:rPr>
                <w:rFonts w:eastAsia="Times New Roman"/>
                <w:sz w:val="20"/>
                <w:szCs w:val="20"/>
                <w:lang w:val="en-GB"/>
              </w:rPr>
            </w:pPr>
            <w:r w:rsidRPr="00F34CA2">
              <w:rPr>
                <w:rFonts w:eastAsia="Times New Roman"/>
                <w:sz w:val="20"/>
                <w:szCs w:val="20"/>
                <w:lang w:val="en-GB"/>
              </w:rPr>
              <w:t>23</w:t>
            </w:r>
          </w:p>
        </w:tc>
        <w:tc>
          <w:tcPr>
            <w:tcW w:w="1283" w:type="dxa"/>
            <w:vAlign w:val="center"/>
          </w:tcPr>
          <w:p w14:paraId="4E163A30" w14:textId="75D9E2B2" w:rsidR="001F3F02" w:rsidRPr="00BC5EB0" w:rsidRDefault="001F3F02" w:rsidP="00BC5EB0">
            <w:pPr>
              <w:rPr>
                <w:rFonts w:eastAsia="Times New Roman"/>
                <w:sz w:val="20"/>
                <w:szCs w:val="20"/>
                <w:lang w:val="en-GB"/>
              </w:rPr>
            </w:pPr>
            <w:r w:rsidRPr="00F34CA2">
              <w:rPr>
                <w:rFonts w:eastAsia="Times New Roman"/>
                <w:sz w:val="20"/>
                <w:szCs w:val="20"/>
                <w:lang w:val="en-GB"/>
              </w:rPr>
              <w:t>23.24</w:t>
            </w:r>
          </w:p>
        </w:tc>
        <w:tc>
          <w:tcPr>
            <w:tcW w:w="1284" w:type="dxa"/>
            <w:vMerge/>
          </w:tcPr>
          <w:p w14:paraId="2FE61C99" w14:textId="77777777" w:rsidR="001F3F02" w:rsidRPr="00F34CA2" w:rsidRDefault="001F3F02" w:rsidP="00BC5EB0">
            <w:pPr>
              <w:rPr>
                <w:rFonts w:eastAsia="Times New Roman"/>
                <w:sz w:val="20"/>
                <w:szCs w:val="20"/>
                <w:lang w:val="en-GB"/>
              </w:rPr>
            </w:pPr>
          </w:p>
        </w:tc>
      </w:tr>
      <w:tr w:rsidR="001F3F02" w14:paraId="0A8593FB" w14:textId="29E3D6E0" w:rsidTr="00F34CA2">
        <w:trPr>
          <w:trHeight w:val="20"/>
        </w:trPr>
        <w:tc>
          <w:tcPr>
            <w:tcW w:w="4495" w:type="dxa"/>
            <w:vAlign w:val="center"/>
          </w:tcPr>
          <w:p w14:paraId="5FBE90A0" w14:textId="418ABF27" w:rsidR="001F3F02" w:rsidRPr="00F34CA2" w:rsidRDefault="001F3F02" w:rsidP="00BC5EB0">
            <w:pPr>
              <w:rPr>
                <w:rFonts w:eastAsia="Times New Roman"/>
                <w:b/>
                <w:sz w:val="20"/>
                <w:szCs w:val="20"/>
                <w:lang w:val="en-GB"/>
              </w:rPr>
            </w:pPr>
            <w:r w:rsidRPr="00F34CA2">
              <w:rPr>
                <w:rFonts w:eastAsia="Times New Roman"/>
                <w:b/>
                <w:sz w:val="20"/>
                <w:szCs w:val="20"/>
                <w:lang w:val="en-GB"/>
              </w:rPr>
              <w:t>Aggregated EIRP (Total) (</w:t>
            </w:r>
            <w:proofErr w:type="spellStart"/>
            <w:r w:rsidRPr="00F34CA2">
              <w:rPr>
                <w:rFonts w:eastAsia="Times New Roman"/>
                <w:b/>
                <w:sz w:val="20"/>
                <w:szCs w:val="20"/>
                <w:lang w:val="en-GB"/>
              </w:rPr>
              <w:t>dBW</w:t>
            </w:r>
            <w:proofErr w:type="spellEnd"/>
            <w:r w:rsidRPr="00F34CA2">
              <w:rPr>
                <w:rFonts w:eastAsia="Times New Roman"/>
                <w:b/>
                <w:sz w:val="20"/>
                <w:szCs w:val="20"/>
                <w:lang w:val="en-GB"/>
              </w:rPr>
              <w:t>)</w:t>
            </w:r>
          </w:p>
        </w:tc>
        <w:tc>
          <w:tcPr>
            <w:tcW w:w="1283" w:type="dxa"/>
            <w:vAlign w:val="center"/>
          </w:tcPr>
          <w:p w14:paraId="2CBF22B1" w14:textId="02D41323" w:rsidR="001F3F02" w:rsidRPr="00BC5EB0" w:rsidRDefault="001F3F02" w:rsidP="00BC5EB0">
            <w:pPr>
              <w:rPr>
                <w:rFonts w:eastAsia="Times New Roman"/>
                <w:sz w:val="20"/>
                <w:szCs w:val="20"/>
                <w:lang w:val="en-GB"/>
              </w:rPr>
            </w:pPr>
            <w:r w:rsidRPr="00BC5EB0">
              <w:rPr>
                <w:rFonts w:eastAsia="Times New Roman"/>
                <w:sz w:val="20"/>
                <w:szCs w:val="20"/>
                <w:lang w:val="en-GB"/>
              </w:rPr>
              <w:t>61.24*</w:t>
            </w:r>
          </w:p>
        </w:tc>
        <w:tc>
          <w:tcPr>
            <w:tcW w:w="1284" w:type="dxa"/>
            <w:vAlign w:val="center"/>
          </w:tcPr>
          <w:p w14:paraId="3BA2AE9A" w14:textId="3C720EE0" w:rsidR="001F3F02" w:rsidRPr="00BC5EB0" w:rsidRDefault="001F3F02" w:rsidP="00BC5EB0">
            <w:pPr>
              <w:rPr>
                <w:rFonts w:eastAsia="Times New Roman"/>
                <w:sz w:val="20"/>
                <w:szCs w:val="20"/>
                <w:lang w:val="en-GB"/>
              </w:rPr>
            </w:pPr>
            <w:r w:rsidRPr="00F34CA2">
              <w:rPr>
                <w:rFonts w:eastAsia="Times New Roman"/>
                <w:sz w:val="20"/>
                <w:szCs w:val="20"/>
                <w:lang w:val="en-GB"/>
              </w:rPr>
              <w:t>53*</w:t>
            </w:r>
          </w:p>
        </w:tc>
        <w:tc>
          <w:tcPr>
            <w:tcW w:w="1283" w:type="dxa"/>
            <w:vAlign w:val="center"/>
          </w:tcPr>
          <w:p w14:paraId="6B111CAA" w14:textId="42DAC84A" w:rsidR="001F3F02" w:rsidRPr="00BC5EB0" w:rsidRDefault="001F3F02" w:rsidP="00BC5EB0">
            <w:pPr>
              <w:rPr>
                <w:rFonts w:eastAsia="Times New Roman"/>
                <w:sz w:val="20"/>
                <w:szCs w:val="20"/>
                <w:lang w:val="en-GB"/>
              </w:rPr>
            </w:pPr>
            <w:r w:rsidRPr="00F34CA2">
              <w:rPr>
                <w:rFonts w:eastAsia="Times New Roman"/>
                <w:sz w:val="20"/>
                <w:szCs w:val="20"/>
                <w:lang w:val="en-GB"/>
              </w:rPr>
              <w:t>53.24*</w:t>
            </w:r>
          </w:p>
        </w:tc>
        <w:tc>
          <w:tcPr>
            <w:tcW w:w="1284" w:type="dxa"/>
            <w:vMerge/>
          </w:tcPr>
          <w:p w14:paraId="24B7192E" w14:textId="77777777" w:rsidR="001F3F02" w:rsidRPr="00F34CA2" w:rsidRDefault="001F3F02" w:rsidP="00BC5EB0">
            <w:pPr>
              <w:rPr>
                <w:rFonts w:eastAsia="Times New Roman"/>
                <w:sz w:val="20"/>
                <w:szCs w:val="20"/>
                <w:lang w:val="en-GB"/>
              </w:rPr>
            </w:pPr>
          </w:p>
        </w:tc>
      </w:tr>
      <w:tr w:rsidR="001F3F02" w14:paraId="30273E43" w14:textId="1F4DD055" w:rsidTr="00F34CA2">
        <w:trPr>
          <w:trHeight w:val="20"/>
        </w:trPr>
        <w:tc>
          <w:tcPr>
            <w:tcW w:w="4495" w:type="dxa"/>
            <w:vAlign w:val="center"/>
          </w:tcPr>
          <w:p w14:paraId="30F153A1" w14:textId="6C8C5CC4" w:rsidR="001F3F02" w:rsidRPr="00F34CA2" w:rsidRDefault="001F3F02" w:rsidP="00BC5EB0">
            <w:pPr>
              <w:rPr>
                <w:rFonts w:eastAsia="Times New Roman"/>
                <w:b/>
                <w:sz w:val="20"/>
                <w:szCs w:val="20"/>
                <w:lang w:val="en-GB"/>
              </w:rPr>
            </w:pPr>
            <w:r w:rsidRPr="00F34CA2">
              <w:rPr>
                <w:rFonts w:eastAsia="Times New Roman"/>
                <w:b/>
                <w:sz w:val="20"/>
                <w:szCs w:val="20"/>
                <w:lang w:val="en-GB"/>
              </w:rPr>
              <w:t xml:space="preserve">Satellite </w:t>
            </w:r>
            <w:proofErr w:type="spellStart"/>
            <w:r w:rsidRPr="00F34CA2">
              <w:rPr>
                <w:rFonts w:eastAsia="Times New Roman"/>
                <w:b/>
                <w:sz w:val="20"/>
                <w:szCs w:val="20"/>
                <w:lang w:val="en-GB"/>
              </w:rPr>
              <w:t>Tx</w:t>
            </w:r>
            <w:proofErr w:type="spellEnd"/>
            <w:r w:rsidRPr="00F34CA2">
              <w:rPr>
                <w:rFonts w:eastAsia="Times New Roman"/>
                <w:b/>
                <w:sz w:val="20"/>
                <w:szCs w:val="20"/>
                <w:lang w:val="en-GB"/>
              </w:rPr>
              <w:t xml:space="preserve"> max Gain</w:t>
            </w:r>
          </w:p>
        </w:tc>
        <w:tc>
          <w:tcPr>
            <w:tcW w:w="1283" w:type="dxa"/>
            <w:vAlign w:val="center"/>
          </w:tcPr>
          <w:p w14:paraId="35221FD4" w14:textId="5FCFAF88" w:rsidR="001F3F02" w:rsidRPr="00BC5EB0" w:rsidRDefault="001F3F02" w:rsidP="00BC5EB0">
            <w:pPr>
              <w:rPr>
                <w:rFonts w:eastAsia="Times New Roman"/>
                <w:sz w:val="20"/>
                <w:szCs w:val="20"/>
                <w:lang w:val="en-GB"/>
              </w:rPr>
            </w:pPr>
            <w:r w:rsidRPr="00BC5EB0">
              <w:rPr>
                <w:rFonts w:eastAsia="Times New Roman"/>
                <w:sz w:val="20"/>
                <w:szCs w:val="20"/>
                <w:lang w:val="en-GB"/>
              </w:rPr>
              <w:t xml:space="preserve">30 </w:t>
            </w:r>
            <w:proofErr w:type="spellStart"/>
            <w:r w:rsidRPr="00BC5EB0">
              <w:rPr>
                <w:rFonts w:eastAsia="Times New Roman"/>
                <w:sz w:val="20"/>
                <w:szCs w:val="20"/>
                <w:lang w:val="en-GB"/>
              </w:rPr>
              <w:t>dBi</w:t>
            </w:r>
            <w:proofErr w:type="spellEnd"/>
          </w:p>
        </w:tc>
        <w:tc>
          <w:tcPr>
            <w:tcW w:w="1284" w:type="dxa"/>
            <w:vAlign w:val="center"/>
          </w:tcPr>
          <w:p w14:paraId="792BE7C5" w14:textId="7EB17333" w:rsidR="001F3F02" w:rsidRPr="00BC5EB0" w:rsidRDefault="001F3F02" w:rsidP="00BC5EB0">
            <w:pPr>
              <w:rPr>
                <w:rFonts w:eastAsia="Times New Roman"/>
                <w:sz w:val="20"/>
                <w:szCs w:val="20"/>
                <w:lang w:val="en-GB"/>
              </w:rPr>
            </w:pPr>
            <w:r w:rsidRPr="00F34CA2">
              <w:rPr>
                <w:rFonts w:eastAsia="Times New Roman"/>
                <w:sz w:val="20"/>
                <w:szCs w:val="20"/>
                <w:lang w:val="en-GB"/>
              </w:rPr>
              <w:t xml:space="preserve">30 </w:t>
            </w:r>
            <w:proofErr w:type="spellStart"/>
            <w:r w:rsidRPr="00F34CA2">
              <w:rPr>
                <w:rFonts w:eastAsia="Times New Roman"/>
                <w:sz w:val="20"/>
                <w:szCs w:val="20"/>
                <w:lang w:val="en-GB"/>
              </w:rPr>
              <w:t>dBi</w:t>
            </w:r>
            <w:proofErr w:type="spellEnd"/>
          </w:p>
        </w:tc>
        <w:tc>
          <w:tcPr>
            <w:tcW w:w="1283" w:type="dxa"/>
            <w:vAlign w:val="center"/>
          </w:tcPr>
          <w:p w14:paraId="24677604" w14:textId="5E42A203" w:rsidR="001F3F02" w:rsidRPr="00BC5EB0" w:rsidRDefault="001F3F02" w:rsidP="00BC5EB0">
            <w:pPr>
              <w:rPr>
                <w:rFonts w:eastAsia="Times New Roman"/>
                <w:sz w:val="20"/>
                <w:szCs w:val="20"/>
                <w:lang w:val="en-GB"/>
              </w:rPr>
            </w:pPr>
            <w:r w:rsidRPr="00F34CA2">
              <w:rPr>
                <w:rFonts w:eastAsia="Times New Roman"/>
                <w:sz w:val="20"/>
                <w:szCs w:val="20"/>
                <w:lang w:val="en-GB"/>
              </w:rPr>
              <w:t xml:space="preserve">30 </w:t>
            </w:r>
            <w:proofErr w:type="spellStart"/>
            <w:r w:rsidRPr="00F34CA2">
              <w:rPr>
                <w:rFonts w:eastAsia="Times New Roman"/>
                <w:sz w:val="20"/>
                <w:szCs w:val="20"/>
                <w:lang w:val="en-GB"/>
              </w:rPr>
              <w:t>dBi</w:t>
            </w:r>
            <w:proofErr w:type="spellEnd"/>
          </w:p>
        </w:tc>
        <w:tc>
          <w:tcPr>
            <w:tcW w:w="1284" w:type="dxa"/>
            <w:vMerge/>
          </w:tcPr>
          <w:p w14:paraId="073DFF76" w14:textId="77777777" w:rsidR="001F3F02" w:rsidRPr="00F34CA2" w:rsidRDefault="001F3F02" w:rsidP="00BC5EB0">
            <w:pPr>
              <w:rPr>
                <w:rFonts w:eastAsia="Times New Roman"/>
                <w:sz w:val="20"/>
                <w:szCs w:val="20"/>
                <w:lang w:val="en-GB"/>
              </w:rPr>
            </w:pPr>
          </w:p>
        </w:tc>
      </w:tr>
      <w:tr w:rsidR="001F3F02" w14:paraId="47CA2B67" w14:textId="707DF648" w:rsidTr="00F34CA2">
        <w:trPr>
          <w:trHeight w:val="20"/>
        </w:trPr>
        <w:tc>
          <w:tcPr>
            <w:tcW w:w="4495" w:type="dxa"/>
            <w:vAlign w:val="center"/>
          </w:tcPr>
          <w:p w14:paraId="24D34276" w14:textId="31EFE6AF" w:rsidR="001F3F02" w:rsidRPr="00462B7E" w:rsidRDefault="001F3F02" w:rsidP="00BC5EB0">
            <w:pPr>
              <w:rPr>
                <w:rFonts w:eastAsia="Times New Roman"/>
                <w:b/>
                <w:sz w:val="20"/>
                <w:szCs w:val="20"/>
              </w:rPr>
            </w:pPr>
            <w:r w:rsidRPr="00797770">
              <w:rPr>
                <w:b/>
              </w:rPr>
              <w:t xml:space="preserve">Maximum EIRP per </w:t>
            </w:r>
            <w:proofErr w:type="spellStart"/>
            <w:r w:rsidRPr="00797770">
              <w:rPr>
                <w:b/>
              </w:rPr>
              <w:t>Satellite</w:t>
            </w:r>
            <w:proofErr w:type="spellEnd"/>
            <w:r w:rsidRPr="00797770">
              <w:rPr>
                <w:b/>
              </w:rPr>
              <w:t xml:space="preserve"> beam (</w:t>
            </w:r>
            <w:proofErr w:type="spellStart"/>
            <w:r w:rsidRPr="00797770">
              <w:rPr>
                <w:b/>
              </w:rPr>
              <w:t>dBW</w:t>
            </w:r>
            <w:proofErr w:type="spellEnd"/>
            <w:r w:rsidRPr="00797770">
              <w:rPr>
                <w:b/>
              </w:rPr>
              <w:t>)</w:t>
            </w:r>
          </w:p>
        </w:tc>
        <w:tc>
          <w:tcPr>
            <w:tcW w:w="1283" w:type="dxa"/>
            <w:vAlign w:val="center"/>
          </w:tcPr>
          <w:p w14:paraId="57A96ED9" w14:textId="5B71A05D" w:rsidR="001F3F02" w:rsidRPr="00BC5EB0" w:rsidRDefault="001F3F02" w:rsidP="00BC5EB0">
            <w:pPr>
              <w:rPr>
                <w:rFonts w:eastAsia="Times New Roman"/>
                <w:sz w:val="20"/>
                <w:szCs w:val="20"/>
                <w:lang w:val="en-GB"/>
              </w:rPr>
            </w:pPr>
            <w:r w:rsidRPr="00BC5EB0">
              <w:rPr>
                <w:rFonts w:eastAsia="Times New Roman"/>
                <w:sz w:val="20"/>
                <w:szCs w:val="20"/>
                <w:lang w:val="en-GB"/>
              </w:rPr>
              <w:t>41</w:t>
            </w:r>
          </w:p>
        </w:tc>
        <w:tc>
          <w:tcPr>
            <w:tcW w:w="1284" w:type="dxa"/>
            <w:vAlign w:val="center"/>
          </w:tcPr>
          <w:p w14:paraId="1A0E6DB3" w14:textId="789D64D5" w:rsidR="001F3F02" w:rsidRPr="00BC5EB0" w:rsidRDefault="001F3F02" w:rsidP="00BC5EB0">
            <w:pPr>
              <w:rPr>
                <w:rFonts w:eastAsia="Times New Roman"/>
                <w:sz w:val="20"/>
                <w:szCs w:val="20"/>
                <w:lang w:val="en-GB"/>
              </w:rPr>
            </w:pPr>
            <w:r w:rsidRPr="00F34CA2">
              <w:rPr>
                <w:rFonts w:eastAsia="Times New Roman"/>
                <w:sz w:val="20"/>
                <w:szCs w:val="20"/>
                <w:lang w:val="en-GB"/>
              </w:rPr>
              <w:t>41</w:t>
            </w:r>
          </w:p>
        </w:tc>
        <w:tc>
          <w:tcPr>
            <w:tcW w:w="1283" w:type="dxa"/>
            <w:vAlign w:val="center"/>
          </w:tcPr>
          <w:p w14:paraId="369330F6" w14:textId="3D4E32D8" w:rsidR="001F3F02" w:rsidRPr="00BC5EB0" w:rsidRDefault="001F3F02" w:rsidP="00BC5EB0">
            <w:pPr>
              <w:rPr>
                <w:rFonts w:eastAsia="Times New Roman"/>
                <w:sz w:val="20"/>
                <w:szCs w:val="20"/>
                <w:lang w:val="en-GB"/>
              </w:rPr>
            </w:pPr>
            <w:r w:rsidRPr="00F34CA2">
              <w:rPr>
                <w:rFonts w:eastAsia="Times New Roman"/>
                <w:sz w:val="20"/>
                <w:szCs w:val="20"/>
                <w:lang w:val="en-GB"/>
              </w:rPr>
              <w:t>33</w:t>
            </w:r>
          </w:p>
        </w:tc>
        <w:tc>
          <w:tcPr>
            <w:tcW w:w="1284" w:type="dxa"/>
            <w:vMerge/>
          </w:tcPr>
          <w:p w14:paraId="2B5E0CA3" w14:textId="77777777" w:rsidR="001F3F02" w:rsidRPr="00F34CA2" w:rsidRDefault="001F3F02" w:rsidP="00BC5EB0">
            <w:pPr>
              <w:rPr>
                <w:rFonts w:eastAsia="Times New Roman"/>
                <w:sz w:val="20"/>
                <w:szCs w:val="20"/>
                <w:lang w:val="en-GB"/>
              </w:rPr>
            </w:pPr>
          </w:p>
        </w:tc>
      </w:tr>
      <w:tr w:rsidR="00BC5EB0" w14:paraId="06DF0D00" w14:textId="52179305" w:rsidTr="00F34CA2">
        <w:trPr>
          <w:trHeight w:val="20"/>
        </w:trPr>
        <w:tc>
          <w:tcPr>
            <w:tcW w:w="4495" w:type="dxa"/>
            <w:vAlign w:val="center"/>
          </w:tcPr>
          <w:p w14:paraId="22925331" w14:textId="35B7D723" w:rsidR="00BC5EB0" w:rsidRPr="00F34CA2" w:rsidRDefault="00BC5EB0" w:rsidP="00BC5EB0">
            <w:pPr>
              <w:rPr>
                <w:rFonts w:eastAsia="Times New Roman"/>
                <w:b/>
                <w:sz w:val="20"/>
                <w:szCs w:val="20"/>
                <w:lang w:val="en-GB"/>
              </w:rPr>
            </w:pPr>
            <w:r w:rsidRPr="00F34CA2">
              <w:rPr>
                <w:rFonts w:eastAsia="Times New Roman"/>
                <w:b/>
                <w:sz w:val="20"/>
                <w:szCs w:val="20"/>
                <w:lang w:val="en-GB"/>
              </w:rPr>
              <w:t>To</w:t>
            </w:r>
            <w:r w:rsidR="00F34CA2">
              <w:rPr>
                <w:rFonts w:eastAsia="Times New Roman"/>
                <w:b/>
                <w:sz w:val="20"/>
                <w:szCs w:val="20"/>
                <w:lang w:val="en-GB"/>
              </w:rPr>
              <w:t>tal number of beam footprints</w:t>
            </w:r>
          </w:p>
        </w:tc>
        <w:tc>
          <w:tcPr>
            <w:tcW w:w="1283" w:type="dxa"/>
            <w:vAlign w:val="center"/>
          </w:tcPr>
          <w:p w14:paraId="628E3D5D" w14:textId="164D52E4" w:rsidR="00BC5EB0" w:rsidRPr="00BC5EB0" w:rsidRDefault="00BC5EB0" w:rsidP="00BC5EB0">
            <w:pPr>
              <w:rPr>
                <w:rFonts w:eastAsia="Times New Roman"/>
                <w:sz w:val="20"/>
                <w:szCs w:val="20"/>
                <w:lang w:val="en-GB"/>
              </w:rPr>
            </w:pPr>
            <w:r w:rsidRPr="00BC5EB0">
              <w:rPr>
                <w:rFonts w:eastAsia="Times New Roman"/>
                <w:sz w:val="20"/>
                <w:szCs w:val="20"/>
                <w:lang w:val="en-GB"/>
              </w:rPr>
              <w:t>1058</w:t>
            </w:r>
          </w:p>
        </w:tc>
        <w:tc>
          <w:tcPr>
            <w:tcW w:w="1284" w:type="dxa"/>
            <w:vAlign w:val="center"/>
          </w:tcPr>
          <w:p w14:paraId="05D50C54" w14:textId="49324294" w:rsidR="00BC5EB0" w:rsidRPr="00BC5EB0" w:rsidRDefault="00BC5EB0" w:rsidP="00BC5EB0">
            <w:pPr>
              <w:rPr>
                <w:rFonts w:eastAsia="Times New Roman"/>
                <w:sz w:val="20"/>
                <w:szCs w:val="20"/>
                <w:lang w:val="en-GB"/>
              </w:rPr>
            </w:pPr>
            <w:r w:rsidRPr="00F34CA2">
              <w:rPr>
                <w:rFonts w:eastAsia="Times New Roman"/>
                <w:sz w:val="20"/>
                <w:szCs w:val="20"/>
                <w:lang w:val="en-GB"/>
              </w:rPr>
              <w:t>1058</w:t>
            </w:r>
          </w:p>
        </w:tc>
        <w:tc>
          <w:tcPr>
            <w:tcW w:w="1283" w:type="dxa"/>
            <w:vAlign w:val="center"/>
          </w:tcPr>
          <w:p w14:paraId="5946A970" w14:textId="7C015591" w:rsidR="00BC5EB0" w:rsidRPr="00BC5EB0" w:rsidRDefault="00BC5EB0" w:rsidP="00BC5EB0">
            <w:pPr>
              <w:rPr>
                <w:rFonts w:eastAsia="Times New Roman"/>
                <w:sz w:val="20"/>
                <w:szCs w:val="20"/>
                <w:lang w:val="en-GB"/>
              </w:rPr>
            </w:pPr>
            <w:r w:rsidRPr="00F34CA2">
              <w:rPr>
                <w:rFonts w:eastAsia="Times New Roman"/>
                <w:sz w:val="20"/>
                <w:szCs w:val="20"/>
                <w:lang w:val="en-GB"/>
              </w:rPr>
              <w:t>1058</w:t>
            </w:r>
          </w:p>
        </w:tc>
        <w:tc>
          <w:tcPr>
            <w:tcW w:w="1284" w:type="dxa"/>
            <w:vAlign w:val="center"/>
          </w:tcPr>
          <w:p w14:paraId="6D6FFD6E" w14:textId="6473B80A" w:rsidR="00BC5EB0" w:rsidRPr="00F34CA2" w:rsidRDefault="00BC5EB0" w:rsidP="00BC5EB0">
            <w:pPr>
              <w:rPr>
                <w:rFonts w:eastAsia="Times New Roman"/>
                <w:sz w:val="20"/>
                <w:szCs w:val="20"/>
                <w:lang w:val="en-GB"/>
              </w:rPr>
            </w:pPr>
            <w:r w:rsidRPr="00F34CA2">
              <w:rPr>
                <w:rFonts w:eastAsia="Times New Roman"/>
                <w:sz w:val="20"/>
                <w:szCs w:val="20"/>
                <w:lang w:val="en-GB"/>
              </w:rPr>
              <w:t>800 (note 1)</w:t>
            </w:r>
          </w:p>
        </w:tc>
      </w:tr>
      <w:tr w:rsidR="00BC5EB0" w14:paraId="1BD9EF07" w14:textId="7C5A6443" w:rsidTr="00F34CA2">
        <w:trPr>
          <w:trHeight w:val="20"/>
        </w:trPr>
        <w:tc>
          <w:tcPr>
            <w:tcW w:w="4495" w:type="dxa"/>
            <w:vAlign w:val="center"/>
          </w:tcPr>
          <w:p w14:paraId="0786C3DF" w14:textId="5B5898AE" w:rsidR="00BC5EB0" w:rsidRPr="00F34CA2" w:rsidRDefault="00BC5EB0" w:rsidP="00BC5EB0">
            <w:pPr>
              <w:rPr>
                <w:rFonts w:eastAsia="Times New Roman"/>
                <w:b/>
                <w:sz w:val="20"/>
                <w:szCs w:val="20"/>
                <w:lang w:val="en-GB"/>
              </w:rPr>
            </w:pPr>
            <w:r w:rsidRPr="00F34CA2">
              <w:rPr>
                <w:rFonts w:eastAsia="Times New Roman"/>
                <w:b/>
                <w:sz w:val="20"/>
                <w:szCs w:val="20"/>
                <w:lang w:val="en-GB"/>
              </w:rPr>
              <w:t xml:space="preserve">Total number of </w:t>
            </w:r>
            <w:r w:rsidR="00F34CA2">
              <w:rPr>
                <w:rFonts w:eastAsia="Times New Roman"/>
                <w:b/>
                <w:sz w:val="20"/>
                <w:szCs w:val="20"/>
                <w:lang w:val="en-GB"/>
              </w:rPr>
              <w:t>simultaneously active beams</w:t>
            </w:r>
          </w:p>
        </w:tc>
        <w:tc>
          <w:tcPr>
            <w:tcW w:w="1283" w:type="dxa"/>
            <w:vAlign w:val="center"/>
          </w:tcPr>
          <w:p w14:paraId="5814EF91" w14:textId="0D72601F" w:rsidR="00BC5EB0" w:rsidRPr="00BC5EB0" w:rsidRDefault="00BC5EB0" w:rsidP="00BC5EB0">
            <w:pPr>
              <w:rPr>
                <w:rFonts w:eastAsia="Times New Roman"/>
                <w:sz w:val="20"/>
                <w:szCs w:val="20"/>
                <w:lang w:val="en-GB"/>
              </w:rPr>
            </w:pPr>
            <w:r w:rsidRPr="00BC5EB0">
              <w:rPr>
                <w:rFonts w:eastAsia="Times New Roman"/>
                <w:sz w:val="20"/>
                <w:szCs w:val="20"/>
                <w:lang w:val="en-GB"/>
              </w:rPr>
              <w:t>106</w:t>
            </w:r>
          </w:p>
        </w:tc>
        <w:tc>
          <w:tcPr>
            <w:tcW w:w="1284" w:type="dxa"/>
            <w:vAlign w:val="center"/>
          </w:tcPr>
          <w:p w14:paraId="3637784D" w14:textId="283103B4" w:rsidR="00BC5EB0" w:rsidRPr="00BC5EB0" w:rsidRDefault="00BC5EB0" w:rsidP="00BC5EB0">
            <w:pPr>
              <w:rPr>
                <w:rFonts w:eastAsia="Times New Roman"/>
                <w:sz w:val="20"/>
                <w:szCs w:val="20"/>
                <w:lang w:val="en-GB"/>
              </w:rPr>
            </w:pPr>
            <w:r w:rsidRPr="00F34CA2">
              <w:rPr>
                <w:rFonts w:eastAsia="Times New Roman"/>
                <w:sz w:val="20"/>
                <w:szCs w:val="20"/>
                <w:lang w:val="en-GB"/>
              </w:rPr>
              <w:t>16</w:t>
            </w:r>
          </w:p>
        </w:tc>
        <w:tc>
          <w:tcPr>
            <w:tcW w:w="1283" w:type="dxa"/>
            <w:vAlign w:val="center"/>
          </w:tcPr>
          <w:p w14:paraId="090EE7A9" w14:textId="5A3C985B" w:rsidR="00BC5EB0" w:rsidRPr="00BC5EB0" w:rsidRDefault="00BC5EB0" w:rsidP="00BC5EB0">
            <w:pPr>
              <w:rPr>
                <w:rFonts w:eastAsia="Times New Roman"/>
                <w:sz w:val="20"/>
                <w:szCs w:val="20"/>
                <w:lang w:val="en-GB"/>
              </w:rPr>
            </w:pPr>
            <w:r w:rsidRPr="00F34CA2">
              <w:rPr>
                <w:rFonts w:eastAsia="Times New Roman"/>
                <w:sz w:val="20"/>
                <w:szCs w:val="20"/>
                <w:lang w:val="en-GB"/>
              </w:rPr>
              <w:t>106</w:t>
            </w:r>
          </w:p>
        </w:tc>
        <w:tc>
          <w:tcPr>
            <w:tcW w:w="1284" w:type="dxa"/>
            <w:vAlign w:val="center"/>
          </w:tcPr>
          <w:p w14:paraId="32C54F8F" w14:textId="46684E3F" w:rsidR="00BC5EB0" w:rsidRPr="00F34CA2" w:rsidRDefault="00BC5EB0" w:rsidP="00BC5EB0">
            <w:pPr>
              <w:rPr>
                <w:rFonts w:eastAsia="Times New Roman"/>
                <w:sz w:val="20"/>
                <w:szCs w:val="20"/>
                <w:lang w:val="en-GB"/>
              </w:rPr>
            </w:pPr>
            <w:r w:rsidRPr="00F34CA2">
              <w:rPr>
                <w:rFonts w:eastAsia="Times New Roman"/>
                <w:sz w:val="20"/>
                <w:szCs w:val="20"/>
                <w:lang w:val="en-GB"/>
              </w:rPr>
              <w:t>12</w:t>
            </w:r>
          </w:p>
        </w:tc>
      </w:tr>
      <w:tr w:rsidR="00BC5EB0" w14:paraId="4D0F93AE" w14:textId="5689E61B" w:rsidTr="00F34CA2">
        <w:trPr>
          <w:trHeight w:val="20"/>
        </w:trPr>
        <w:tc>
          <w:tcPr>
            <w:tcW w:w="4495" w:type="dxa"/>
            <w:vAlign w:val="center"/>
          </w:tcPr>
          <w:p w14:paraId="54E79483" w14:textId="0E808927" w:rsidR="00BC5EB0" w:rsidRPr="00F34CA2" w:rsidRDefault="00395F90" w:rsidP="00BC5EB0">
            <w:pPr>
              <w:rPr>
                <w:rFonts w:eastAsia="Times New Roman"/>
                <w:b/>
                <w:sz w:val="20"/>
                <w:szCs w:val="20"/>
                <w:lang w:val="en-GB"/>
              </w:rPr>
            </w:pPr>
            <w:r w:rsidRPr="00395F90">
              <w:rPr>
                <w:rFonts w:eastAsia="Times New Roman"/>
                <w:b/>
                <w:sz w:val="20"/>
                <w:szCs w:val="20"/>
                <w:highlight w:val="yellow"/>
                <w:lang w:val="en-GB"/>
              </w:rPr>
              <w:t>% simultaneously active beams</w:t>
            </w:r>
          </w:p>
        </w:tc>
        <w:tc>
          <w:tcPr>
            <w:tcW w:w="1283" w:type="dxa"/>
            <w:vAlign w:val="center"/>
          </w:tcPr>
          <w:p w14:paraId="53393D8E" w14:textId="6CB7ED2D"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10.02 %</w:t>
            </w:r>
          </w:p>
        </w:tc>
        <w:tc>
          <w:tcPr>
            <w:tcW w:w="1284" w:type="dxa"/>
            <w:vAlign w:val="center"/>
          </w:tcPr>
          <w:p w14:paraId="55FB53DD" w14:textId="7B67E55B"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1.5 %</w:t>
            </w:r>
          </w:p>
        </w:tc>
        <w:tc>
          <w:tcPr>
            <w:tcW w:w="1283" w:type="dxa"/>
            <w:vAlign w:val="center"/>
          </w:tcPr>
          <w:p w14:paraId="25CD38FA" w14:textId="61ADBE7D" w:rsidR="00BC5EB0" w:rsidRPr="00395F90" w:rsidRDefault="00BC5EB0" w:rsidP="00BC5EB0">
            <w:pPr>
              <w:rPr>
                <w:rFonts w:eastAsia="Times New Roman"/>
                <w:sz w:val="20"/>
                <w:szCs w:val="20"/>
                <w:highlight w:val="yellow"/>
                <w:lang w:val="en-GB"/>
              </w:rPr>
            </w:pPr>
            <w:r w:rsidRPr="00395F90">
              <w:rPr>
                <w:rFonts w:eastAsia="Times New Roman"/>
                <w:sz w:val="20"/>
                <w:szCs w:val="20"/>
                <w:highlight w:val="yellow"/>
                <w:lang w:val="en-GB"/>
              </w:rPr>
              <w:t>10.02 %</w:t>
            </w:r>
          </w:p>
        </w:tc>
        <w:tc>
          <w:tcPr>
            <w:tcW w:w="1284" w:type="dxa"/>
            <w:vAlign w:val="center"/>
          </w:tcPr>
          <w:p w14:paraId="034D8CC1" w14:textId="2A8E8EF8" w:rsidR="00BC5EB0" w:rsidRPr="00395F90" w:rsidRDefault="00BC5EB0" w:rsidP="001F3F02">
            <w:pPr>
              <w:keepNext/>
              <w:rPr>
                <w:rFonts w:eastAsia="Times New Roman"/>
                <w:sz w:val="20"/>
                <w:szCs w:val="20"/>
                <w:highlight w:val="yellow"/>
                <w:lang w:val="en-GB"/>
              </w:rPr>
            </w:pPr>
            <w:r w:rsidRPr="00395F90">
              <w:rPr>
                <w:rFonts w:eastAsia="Times New Roman"/>
                <w:sz w:val="20"/>
                <w:szCs w:val="20"/>
                <w:highlight w:val="yellow"/>
                <w:lang w:val="en-GB"/>
              </w:rPr>
              <w:t>1.5 %</w:t>
            </w:r>
          </w:p>
        </w:tc>
      </w:tr>
    </w:tbl>
    <w:p w14:paraId="45B551D9" w14:textId="70BBD611" w:rsidR="00BC5EB0" w:rsidRDefault="001F3F02" w:rsidP="001F3F02">
      <w:pPr>
        <w:pStyle w:val="Caption"/>
        <w:jc w:val="center"/>
      </w:pPr>
      <w:r>
        <w:t xml:space="preserve">Table </w:t>
      </w:r>
      <w:fldSimple w:instr=" SEQ Table \* ARABIC ">
        <w:r>
          <w:rPr>
            <w:noProof/>
          </w:rPr>
          <w:t>1</w:t>
        </w:r>
      </w:fldSimple>
      <w:r>
        <w:t xml:space="preserve"> - </w:t>
      </w:r>
      <w:r w:rsidRPr="0077199B">
        <w:t>Reference satellite parameters</w:t>
      </w:r>
      <w:r>
        <w:t xml:space="preserve"> considered</w:t>
      </w:r>
      <w:r w:rsidRPr="0077199B">
        <w:t xml:space="preserve"> in RAN1</w:t>
      </w:r>
    </w:p>
    <w:p w14:paraId="622B2206" w14:textId="65C42420" w:rsidR="00BC5EB0" w:rsidRDefault="00BC5EB0" w:rsidP="00BC5EB0">
      <w:r>
        <w:t>Other aspects may impact the performance satellite active antenna and limit the number</w:t>
      </w:r>
      <w:r w:rsidR="00E25E33">
        <w:t xml:space="preserve"> of simultaneously active beams</w:t>
      </w:r>
      <w:r>
        <w:t>:</w:t>
      </w:r>
    </w:p>
    <w:p w14:paraId="735EAD5B" w14:textId="77777777" w:rsidR="007266E1" w:rsidRDefault="00BC5EB0" w:rsidP="00BC5EB0">
      <w:pPr>
        <w:pStyle w:val="ListParagraph"/>
        <w:numPr>
          <w:ilvl w:val="2"/>
          <w:numId w:val="33"/>
        </w:numPr>
      </w:pPr>
      <w:r>
        <w:t>Number of antenna elements defines the antenna gain and impacts the coverage. More antenna elements improve coverage. Antenna element spacing gets smaller with high frequencies which makes it possible to have smaller antennas or have more antenna elements. But more antenna elements increases the size of the antenna especially at low frequencies.</w:t>
      </w:r>
    </w:p>
    <w:p w14:paraId="054BB7A3" w14:textId="77777777" w:rsidR="007266E1" w:rsidRDefault="00BC5EB0" w:rsidP="00BC5EB0">
      <w:pPr>
        <w:pStyle w:val="ListParagraph"/>
        <w:numPr>
          <w:ilvl w:val="2"/>
          <w:numId w:val="33"/>
        </w:numPr>
      </w:pPr>
      <w:r>
        <w:t>Number of transmitters define the number of simultaneous beams that can be created. More transmitters gives more capacity. But more transmitters also increases weight, power consumption &amp; cost.</w:t>
      </w:r>
    </w:p>
    <w:p w14:paraId="6637DB0E" w14:textId="77777777" w:rsidR="007266E1" w:rsidRDefault="00BC5EB0" w:rsidP="00BC5EB0">
      <w:pPr>
        <w:pStyle w:val="ListParagraph"/>
        <w:numPr>
          <w:ilvl w:val="2"/>
          <w:numId w:val="33"/>
        </w:numPr>
      </w:pPr>
      <w:r>
        <w:t>Beamforming technique; whether Digital beamforming or Analog beamforming:</w:t>
      </w:r>
    </w:p>
    <w:p w14:paraId="59BB6879" w14:textId="77777777" w:rsidR="007266E1" w:rsidRDefault="00BC5EB0" w:rsidP="00BC5EB0">
      <w:pPr>
        <w:pStyle w:val="ListParagraph"/>
        <w:numPr>
          <w:ilvl w:val="3"/>
          <w:numId w:val="33"/>
        </w:numPr>
      </w:pPr>
      <w:r>
        <w:t>With digital beamforming which has more costly hardware requirements (higher cost, power dissipation, size than analog RF beamforming) beamforming is done completely in the digital domain which enables multiple beams and multiple streams out of the same antenna array. Digital beamforming supports many control schemes to increase capacity including user-specific beams and adaptive grid of beams. Each radiating element has separate transceiver in digital beamforming.</w:t>
      </w:r>
    </w:p>
    <w:p w14:paraId="148636A9" w14:textId="56B2FA0F" w:rsidR="00BC5EB0" w:rsidRDefault="00BC5EB0" w:rsidP="00BC5EB0">
      <w:pPr>
        <w:pStyle w:val="ListParagraph"/>
        <w:numPr>
          <w:ilvl w:val="3"/>
          <w:numId w:val="33"/>
        </w:numPr>
      </w:pPr>
      <w:r>
        <w:t>In case of Analog beamforming; beamforming is done in the analog domain by changing phase and amplitude of each antenna element. Each array has single transceiver per polarization. Analogue beamforming requires an RF chain ‘per beam’; It generates low number of beams. Lower cost, power dissipation, size than digital RF beamforming. With Analog beamforming, each beam contains the transmissions for all users if multiple users are scheduled during the same slot.</w:t>
      </w:r>
    </w:p>
    <w:p w14:paraId="2B2FF09C" w14:textId="77777777" w:rsidR="007266E1" w:rsidRDefault="007266E1" w:rsidP="007266E1"/>
    <w:p w14:paraId="1E28C242" w14:textId="335FAC43" w:rsidR="00BC5EB0" w:rsidRDefault="00BC5EB0" w:rsidP="00BC5EB0">
      <w:r>
        <w:t>To cover the entire target service area with a good/acceptable quality of service, the Satellite Beam Hoppi</w:t>
      </w:r>
      <w:r w:rsidR="007266E1">
        <w:t>ng technique is typically used.</w:t>
      </w:r>
    </w:p>
    <w:p w14:paraId="63B7DD8C" w14:textId="24DA3FEF" w:rsidR="008E5BA5" w:rsidRDefault="00BC5EB0" w:rsidP="00BC5EB0">
      <w:r w:rsidRPr="00E25E33">
        <w:rPr>
          <w:b/>
          <w:i/>
        </w:rPr>
        <w:t>Satellite Beam Hopping</w:t>
      </w:r>
      <w:r w:rsidR="007266E1">
        <w:t xml:space="preserve"> </w:t>
      </w:r>
      <w:r>
        <w:t>(BH) refers to a sequential and repetitive beam illumination pattern decided b</w:t>
      </w:r>
      <w:r w:rsidR="007266E1">
        <w:t xml:space="preserve">y the mission segment (NCC). It is a well-known </w:t>
      </w:r>
      <w:r>
        <w:t>technique cons</w:t>
      </w:r>
      <w:r w:rsidR="007266E1">
        <w:t xml:space="preserve">idered for multi-beam satellite communication system. It allows a satellite focusing its </w:t>
      </w:r>
      <w:r>
        <w:t>radio resources (</w:t>
      </w:r>
      <w:proofErr w:type="spellStart"/>
      <w:proofErr w:type="gramStart"/>
      <w:r>
        <w:t>Tx</w:t>
      </w:r>
      <w:proofErr w:type="spellEnd"/>
      <w:proofErr w:type="gramEnd"/>
      <w:r>
        <w:t xml:space="preserve"> power and all</w:t>
      </w:r>
      <w:r w:rsidR="007266E1">
        <w:t>ocated spectrum) on where it is needed</w:t>
      </w:r>
      <w:r>
        <w:t xml:space="preserve"> (typically a</w:t>
      </w:r>
      <w:r w:rsidR="007266E1">
        <w:t xml:space="preserve">ccording to traffic demand) by selectively </w:t>
      </w:r>
      <w:r w:rsidR="000F1AA3">
        <w:t>illuminating beams [4]</w:t>
      </w:r>
      <w:r>
        <w:t>.</w:t>
      </w:r>
    </w:p>
    <w:p w14:paraId="7449AA3D" w14:textId="19C7CAC8" w:rsidR="00BC5EB0" w:rsidRDefault="00BC5EB0" w:rsidP="00BC5EB0">
      <w:r>
        <w:t xml:space="preserve">The techniques enabling an efficient beam hopping in 5G NTN with an optimized satellite beam illumination </w:t>
      </w:r>
      <w:r w:rsidR="005202F2">
        <w:t>plan are illustrated in Figure 8</w:t>
      </w:r>
      <w:r>
        <w:t xml:space="preserve"> and will be further discussed in the coming sections</w:t>
      </w:r>
      <w:r w:rsidR="008B78C8">
        <w:t>.</w:t>
      </w:r>
    </w:p>
    <w:p w14:paraId="20BB073E" w14:textId="4BA89600" w:rsidR="008B78C8" w:rsidRDefault="008B78C8" w:rsidP="008B78C8">
      <w:pPr>
        <w:pStyle w:val="Observation"/>
      </w:pPr>
      <w:r>
        <w:lastRenderedPageBreak/>
        <w:t>Satellite beam hoping techniques is well-known and efficient techniques in multi-beam satellite communication system to allow a satellite focusing its radio resources (</w:t>
      </w:r>
      <w:proofErr w:type="spellStart"/>
      <w:r>
        <w:t>Tx</w:t>
      </w:r>
      <w:proofErr w:type="spellEnd"/>
      <w:r>
        <w:t xml:space="preserve"> power and allocated spectrum) on where it is needed (typically according to traffic demand) by selectively illuminating beams.</w:t>
      </w:r>
    </w:p>
    <w:p w14:paraId="27B7EC80" w14:textId="77777777" w:rsidR="00BC5EB0" w:rsidRPr="008E5BA5" w:rsidRDefault="00BC5EB0" w:rsidP="00BC5EB0"/>
    <w:p w14:paraId="2347B6D6" w14:textId="708CA005" w:rsidR="00D01C98" w:rsidRDefault="00D01C98" w:rsidP="009C701A">
      <w:pPr>
        <w:rPr>
          <w:b/>
          <w:u w:val="single"/>
        </w:rPr>
      </w:pPr>
      <w:r>
        <w:rPr>
          <w:b/>
          <w:u w:val="single"/>
        </w:rPr>
        <w:t>Beam illumination timeline</w:t>
      </w:r>
    </w:p>
    <w:p w14:paraId="5DE3D501" w14:textId="59B0007C" w:rsidR="00D01C98" w:rsidRDefault="00F75215" w:rsidP="009C701A">
      <w:r>
        <w:t>As explained on the “beam hoping” subsection, the satellite beams should be illuminated for a limited share of the time to maximize the downlink capacity when active</w:t>
      </w:r>
      <w:r w:rsidR="00640824">
        <w:t>. Also, the number of available antenna port is limited for telecommunication payload for both DBFN and ABFN. In time, the satellite beams are mapped into beam index and a time slot as illustrated on the Figure below.</w:t>
      </w:r>
    </w:p>
    <w:p w14:paraId="78DE1F35" w14:textId="71D9D726" w:rsidR="00640824" w:rsidRDefault="00E25E33" w:rsidP="00640824">
      <w:pPr>
        <w:keepNext/>
        <w:jc w:val="center"/>
      </w:pPr>
      <w:r>
        <w:rPr>
          <w:noProof/>
          <w:lang w:val="en-US" w:eastAsia="zh-CN"/>
        </w:rPr>
        <w:drawing>
          <wp:inline distT="0" distB="0" distL="0" distR="0" wp14:anchorId="5867D086" wp14:editId="585395C9">
            <wp:extent cx="4976706" cy="22696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5540" cy="2282802"/>
                    </a:xfrm>
                    <a:prstGeom prst="rect">
                      <a:avLst/>
                    </a:prstGeom>
                    <a:noFill/>
                  </pic:spPr>
                </pic:pic>
              </a:graphicData>
            </a:graphic>
          </wp:inline>
        </w:drawing>
      </w:r>
    </w:p>
    <w:p w14:paraId="05ECD574" w14:textId="4420BE1F" w:rsidR="00640824" w:rsidRDefault="00640824" w:rsidP="00640824">
      <w:pPr>
        <w:pStyle w:val="Caption"/>
        <w:jc w:val="center"/>
      </w:pPr>
      <w:r>
        <w:t xml:space="preserve">Figure </w:t>
      </w:r>
      <w:fldSimple w:instr=" SEQ Figure \* ARABIC ">
        <w:r w:rsidR="001F3F02">
          <w:rPr>
            <w:noProof/>
          </w:rPr>
          <w:t>8</w:t>
        </w:r>
      </w:fldSimple>
      <w:r>
        <w:t xml:space="preserve"> - Beam mapping timeline for beam hoping</w:t>
      </w:r>
    </w:p>
    <w:p w14:paraId="251B7918" w14:textId="2F905433" w:rsidR="00640824" w:rsidRDefault="00640824" w:rsidP="00640824">
      <w:pPr>
        <w:rPr>
          <w:lang w:eastAsia="en-GB"/>
        </w:rPr>
      </w:pPr>
      <w:r>
        <w:rPr>
          <w:lang w:eastAsia="en-GB"/>
        </w:rPr>
        <w:t xml:space="preserve">The </w:t>
      </w:r>
      <w:r w:rsidR="006D4EC1">
        <w:rPr>
          <w:lang w:eastAsia="en-GB"/>
        </w:rPr>
        <w:t>beam illumination pattern is constrained by necessary</w:t>
      </w:r>
      <w:r w:rsidR="008B78C8">
        <w:rPr>
          <w:lang w:eastAsia="en-GB"/>
        </w:rPr>
        <w:t xml:space="preserve"> control</w:t>
      </w:r>
      <w:r w:rsidR="006D4EC1">
        <w:rPr>
          <w:lang w:eastAsia="en-GB"/>
        </w:rPr>
        <w:t xml:space="preserve"> </w:t>
      </w:r>
      <w:r w:rsidR="00F107F3">
        <w:rPr>
          <w:lang w:eastAsia="en-GB"/>
        </w:rPr>
        <w:t xml:space="preserve">and common </w:t>
      </w:r>
      <w:r w:rsidR="006D4EC1">
        <w:rPr>
          <w:lang w:eastAsia="en-GB"/>
        </w:rPr>
        <w:t>signals to “keep alive”</w:t>
      </w:r>
      <w:r w:rsidR="008B78C8">
        <w:rPr>
          <w:lang w:eastAsia="en-GB"/>
        </w:rPr>
        <w:t xml:space="preserve"> a NR cell for the connected UEs and UEs trying to perform RACH</w:t>
      </w:r>
      <w:r w:rsidR="006D4EC1">
        <w:rPr>
          <w:lang w:eastAsia="en-GB"/>
        </w:rPr>
        <w:t>. These signals are:</w:t>
      </w:r>
    </w:p>
    <w:p w14:paraId="422E3824" w14:textId="259E1CDC" w:rsidR="006D4EC1" w:rsidRPr="006D4EC1" w:rsidRDefault="006D4EC1" w:rsidP="006D4EC1">
      <w:pPr>
        <w:pStyle w:val="ListParagraph"/>
        <w:numPr>
          <w:ilvl w:val="2"/>
          <w:numId w:val="33"/>
        </w:numPr>
        <w:rPr>
          <w:lang w:eastAsia="en-GB"/>
        </w:rPr>
      </w:pPr>
      <w:r w:rsidRPr="006D4EC1">
        <w:rPr>
          <w:lang w:val="en-US" w:eastAsia="en-GB"/>
        </w:rPr>
        <w:t>SSB, SIB1, SIB19</w:t>
      </w:r>
      <w:proofErr w:type="gramStart"/>
      <w:r w:rsidRPr="006D4EC1">
        <w:rPr>
          <w:lang w:val="en-US" w:eastAsia="en-GB"/>
        </w:rPr>
        <w:t>,…</w:t>
      </w:r>
      <w:proofErr w:type="gramEnd"/>
    </w:p>
    <w:p w14:paraId="42F2738C" w14:textId="0E25DD19" w:rsidR="006D4EC1" w:rsidRPr="006D4EC1" w:rsidRDefault="006D4EC1" w:rsidP="006D4EC1">
      <w:pPr>
        <w:pStyle w:val="ListParagraph"/>
        <w:numPr>
          <w:ilvl w:val="2"/>
          <w:numId w:val="33"/>
        </w:numPr>
        <w:rPr>
          <w:lang w:eastAsia="en-GB"/>
        </w:rPr>
      </w:pPr>
      <w:r w:rsidRPr="006D4EC1">
        <w:rPr>
          <w:lang w:val="en-US" w:eastAsia="en-GB"/>
        </w:rPr>
        <w:t>RACH o</w:t>
      </w:r>
      <w:r>
        <w:rPr>
          <w:lang w:val="en-US" w:eastAsia="en-GB"/>
        </w:rPr>
        <w:t>ccasions</w:t>
      </w:r>
      <w:proofErr w:type="gramStart"/>
      <w:r>
        <w:rPr>
          <w:lang w:val="en-US" w:eastAsia="en-GB"/>
        </w:rPr>
        <w:t>,…</w:t>
      </w:r>
      <w:proofErr w:type="gramEnd"/>
    </w:p>
    <w:p w14:paraId="6CB19166" w14:textId="639AFCE6" w:rsidR="00D922BF" w:rsidRDefault="006D4EC1" w:rsidP="006D4EC1">
      <w:pPr>
        <w:rPr>
          <w:lang w:eastAsia="en-GB"/>
        </w:rPr>
      </w:pPr>
      <w:r>
        <w:rPr>
          <w:lang w:eastAsia="en-GB"/>
        </w:rPr>
        <w:t>It is a problem of scheduling solved by implementation, but to achieve the expected 10% or 1.5% illumination target, some</w:t>
      </w:r>
      <w:r w:rsidR="00EA175C">
        <w:rPr>
          <w:lang w:eastAsia="en-GB"/>
        </w:rPr>
        <w:t xml:space="preserve"> system level enhancements are needed as presented in the next paragraph. Note that SSB enhancement is not considered for this work.</w:t>
      </w:r>
    </w:p>
    <w:p w14:paraId="3DC268A7" w14:textId="6C82512B" w:rsidR="008B78C8" w:rsidRPr="00640824" w:rsidRDefault="008B78C8" w:rsidP="008B78C8">
      <w:pPr>
        <w:pStyle w:val="Observation"/>
        <w:rPr>
          <w:lang w:eastAsia="en-GB"/>
        </w:rPr>
      </w:pPr>
      <w:r>
        <w:rPr>
          <w:lang w:eastAsia="en-GB"/>
        </w:rPr>
        <w:t>The beam illumination pattern and then, the time a cell could be inactive is constrained by the necessity to transmit control</w:t>
      </w:r>
      <w:r w:rsidR="00D922BF">
        <w:rPr>
          <w:lang w:eastAsia="en-GB"/>
        </w:rPr>
        <w:t xml:space="preserve"> and common</w:t>
      </w:r>
      <w:r>
        <w:rPr>
          <w:lang w:eastAsia="en-GB"/>
        </w:rPr>
        <w:t xml:space="preserve"> signals and allow users to perform RACH.</w:t>
      </w:r>
    </w:p>
    <w:p w14:paraId="7C60A140" w14:textId="5C475C95" w:rsidR="00D01C98" w:rsidRPr="00D922BF" w:rsidRDefault="00D922BF" w:rsidP="009C701A">
      <w:r>
        <w:t xml:space="preserve">Moreover, the illumination pattern should take into account the user traffic type and the associated </w:t>
      </w:r>
      <w:proofErr w:type="spellStart"/>
      <w:r>
        <w:t>QoS</w:t>
      </w:r>
      <w:proofErr w:type="spellEnd"/>
      <w:r>
        <w:t xml:space="preserve"> and the </w:t>
      </w:r>
      <w:proofErr w:type="spellStart"/>
      <w:r>
        <w:t>QoE</w:t>
      </w:r>
      <w:proofErr w:type="spellEnd"/>
      <w:r>
        <w:t>.</w:t>
      </w:r>
    </w:p>
    <w:p w14:paraId="1F6939E3" w14:textId="4E4DE9B9" w:rsidR="00622858" w:rsidRDefault="00622858" w:rsidP="009C701A">
      <w:pPr>
        <w:rPr>
          <w:b/>
          <w:u w:val="single"/>
        </w:rPr>
      </w:pPr>
      <w:r>
        <w:rPr>
          <w:b/>
          <w:u w:val="single"/>
        </w:rPr>
        <w:t>The potential enhancements at the System Level</w:t>
      </w:r>
    </w:p>
    <w:p w14:paraId="66AB3F17" w14:textId="77777777" w:rsidR="005202F2" w:rsidRDefault="005202F2" w:rsidP="005202F2">
      <w:pPr>
        <w:keepNext/>
        <w:jc w:val="center"/>
      </w:pPr>
      <w:r>
        <w:rPr>
          <w:noProof/>
          <w:lang w:val="en-US" w:eastAsia="zh-CN"/>
        </w:rPr>
        <w:lastRenderedPageBreak/>
        <w:drawing>
          <wp:inline distT="0" distB="0" distL="0" distR="0" wp14:anchorId="671CB8E0" wp14:editId="53ED5EB6">
            <wp:extent cx="5500800" cy="3232800"/>
            <wp:effectExtent l="0" t="0" r="508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0800" cy="3232800"/>
                    </a:xfrm>
                    <a:prstGeom prst="rect">
                      <a:avLst/>
                    </a:prstGeom>
                    <a:noFill/>
                  </pic:spPr>
                </pic:pic>
              </a:graphicData>
            </a:graphic>
          </wp:inline>
        </w:drawing>
      </w:r>
    </w:p>
    <w:p w14:paraId="52A034F7" w14:textId="319E6030" w:rsidR="005202F2" w:rsidRDefault="005202F2" w:rsidP="005202F2">
      <w:pPr>
        <w:pStyle w:val="Caption"/>
        <w:jc w:val="center"/>
      </w:pPr>
      <w:r>
        <w:t xml:space="preserve">Figure </w:t>
      </w:r>
      <w:fldSimple w:instr=" SEQ Figure \* ARABIC ">
        <w:r w:rsidR="001F3F02">
          <w:rPr>
            <w:noProof/>
          </w:rPr>
          <w:t>9</w:t>
        </w:r>
      </w:fldSimple>
      <w:r>
        <w:t xml:space="preserve"> - </w:t>
      </w:r>
      <w:r w:rsidRPr="004A6568">
        <w:t>Techniques enabling an efficient beam hopping in 5G NTN</w:t>
      </w:r>
    </w:p>
    <w:p w14:paraId="1E0C447D" w14:textId="77777777" w:rsidR="005202F2" w:rsidRPr="00622858" w:rsidRDefault="005202F2" w:rsidP="009C701A">
      <w:pPr>
        <w:rPr>
          <w:b/>
          <w:u w:val="single"/>
        </w:rPr>
      </w:pPr>
    </w:p>
    <w:p w14:paraId="785B257E" w14:textId="7921787F" w:rsidR="000F1AA3" w:rsidRDefault="000F1AA3" w:rsidP="000F1AA3">
      <w:r>
        <w:t>Thereby, efficient power and beam management are needed for optimized satellite beam illumination plan. To this goal, different solutions should be combined together to enable an eff</w:t>
      </w:r>
      <w:r w:rsidR="00216698">
        <w:t>icient beam hopping in 5G NTN. They are represented in Figure 9</w:t>
      </w:r>
      <w:r w:rsidR="001265BC">
        <w:t>. The RAN2 related techniques are detailed in the following</w:t>
      </w:r>
      <w:r w:rsidR="00216698">
        <w:t>:</w:t>
      </w:r>
    </w:p>
    <w:p w14:paraId="5BBA49D5" w14:textId="59E2A516" w:rsidR="000F1AA3" w:rsidRDefault="000F1AA3" w:rsidP="000F1AA3">
      <w:pPr>
        <w:ind w:firstLine="567"/>
      </w:pPr>
      <w:r>
        <w:t xml:space="preserve">- Take benefit of </w:t>
      </w:r>
      <w:r w:rsidRPr="00602EF0">
        <w:rPr>
          <w:b/>
          <w:i/>
        </w:rPr>
        <w:t>beam management techniques</w:t>
      </w:r>
      <w:r>
        <w:t xml:space="preserve"> specified in 5G NR and adopted as baseline in 5G NTN. This would allow to define/group a cluster of several satellite beams that are mapped to the same cell and for which the resources of the cell (including cell nominal power) will be shared based on NR beam management. In this case, 5G NR beam management techniques can allow an optimized satellite beam illumination plan. However, the 3GPP specified beam management algorithm is only operating at cell level and may de facto have some limitation and could not be used alone to resolve the issue discussed above and enable an optimized satellite beam illumination plan.</w:t>
      </w:r>
    </w:p>
    <w:p w14:paraId="14AF6259" w14:textId="4B0E73B5" w:rsidR="000F1AA3" w:rsidRDefault="000F1AA3" w:rsidP="000F1AA3">
      <w:pPr>
        <w:ind w:firstLine="567"/>
      </w:pPr>
      <w:r>
        <w:t xml:space="preserve">- </w:t>
      </w:r>
      <w:r w:rsidRPr="00602EF0">
        <w:rPr>
          <w:b/>
          <w:i/>
        </w:rPr>
        <w:t xml:space="preserve">Satellite payload </w:t>
      </w:r>
      <w:r w:rsidR="00216698">
        <w:rPr>
          <w:b/>
          <w:i/>
        </w:rPr>
        <w:t>power/energy</w:t>
      </w:r>
      <w:r w:rsidRPr="00602EF0">
        <w:rPr>
          <w:b/>
          <w:i/>
        </w:rPr>
        <w:t xml:space="preserve"> saving techniques</w:t>
      </w:r>
      <w:r>
        <w:t xml:space="preserve"> are also needed: Leveraging the new techniques that are being studied and specified in 3GPP Release-18 and Release-19; [</w:t>
      </w:r>
      <w:r w:rsidR="00462B7E">
        <w:t>7</w:t>
      </w:r>
      <w:r>
        <w:t>]. Because some of these studied techniques [</w:t>
      </w:r>
      <w:r w:rsidR="00462B7E">
        <w:t>8</w:t>
      </w:r>
      <w:r>
        <w:t>] are not going to be specified as part of Release-18 or Release-19, and because some other novel power/energy techniques may be need explored, further study of satellite payload power saving techniques in Release-19 would be highly recommended.</w:t>
      </w:r>
    </w:p>
    <w:p w14:paraId="39C4B92A" w14:textId="7B7A872E" w:rsidR="00216698" w:rsidRDefault="00602EF0" w:rsidP="001265BC">
      <w:pPr>
        <w:ind w:firstLine="567"/>
      </w:pPr>
      <w:r>
        <w:t xml:space="preserve">- </w:t>
      </w:r>
      <w:r>
        <w:rPr>
          <w:b/>
          <w:i/>
        </w:rPr>
        <w:t>Discontinuous coverage</w:t>
      </w:r>
      <w:r>
        <w:t xml:space="preserve"> techniques already defined fo</w:t>
      </w:r>
      <w:r w:rsidR="00A26C3F">
        <w:t>r NB-</w:t>
      </w:r>
      <w:proofErr w:type="spellStart"/>
      <w:r w:rsidR="00A26C3F">
        <w:t>IoT</w:t>
      </w:r>
      <w:proofErr w:type="spellEnd"/>
      <w:r w:rsidR="00516A5D">
        <w:t xml:space="preserve"> can be studied for fixed to ground UE to support the beam illumination discontinuity inherent to beam hoping technique.</w:t>
      </w:r>
      <w:r w:rsidR="00B823D3">
        <w:t xml:space="preserve"> According to [</w:t>
      </w:r>
      <w:r w:rsidR="00462B7E">
        <w:t>9</w:t>
      </w:r>
      <w:r w:rsidR="00B823D3">
        <w:t>]</w:t>
      </w:r>
      <w:proofErr w:type="gramStart"/>
      <w:r w:rsidR="00B823D3">
        <w:t>,</w:t>
      </w:r>
      <w:proofErr w:type="gramEnd"/>
      <w:r w:rsidR="00B823D3">
        <w:br/>
        <w:t>“t</w:t>
      </w:r>
      <w:r w:rsidR="00B823D3" w:rsidRPr="00B823D3">
        <w:t>o enable the UE, in RRC_IDLE, to save power during periods of no coverage, the network provides NTN payload assistance information (e.g. ephemeris parameters, the start-time and/or carrier frequency of upcoming NTN payload coverage) to enable the UE to predict when coverage will be provided by upcoming NTN payloads. Predicting out of coverage and in coverage is up to UE implementation.</w:t>
      </w:r>
      <w:proofErr w:type="gramStart"/>
      <w:r w:rsidR="00B823D3">
        <w:t>”.</w:t>
      </w:r>
      <w:proofErr w:type="gramEnd"/>
      <w:r w:rsidR="00B823D3">
        <w:br/>
        <w:t>Note that in the beam hoping case, the NTN payload is the same and the start/end-time should be shorter than a satellite flight-over according to the revisit pattern. However, the revisit pattern could be pre-determined by a central orchestrator and signalled to the UE in advance if the interruption time is long enough to take benefits to go RRC_INACTIVE during the no coverage period.</w:t>
      </w:r>
      <w:r w:rsidR="001265BC">
        <w:t xml:space="preserve"> Radio link failures (RLF) management related to discontinuous coverage should be considered also.</w:t>
      </w:r>
    </w:p>
    <w:p w14:paraId="57370C7C" w14:textId="77777777" w:rsidR="00216698" w:rsidRDefault="00216698" w:rsidP="000F1AA3">
      <w:pPr>
        <w:ind w:firstLine="567"/>
      </w:pPr>
    </w:p>
    <w:p w14:paraId="6B642EAD" w14:textId="0B879B5A" w:rsidR="00216698" w:rsidRDefault="00216698" w:rsidP="00216698">
      <w:pPr>
        <w:pStyle w:val="Observation"/>
      </w:pPr>
      <w:r>
        <w:t>Beam management, network energy saving</w:t>
      </w:r>
      <w:r w:rsidR="001265BC">
        <w:t xml:space="preserve"> and</w:t>
      </w:r>
      <w:r>
        <w:t xml:space="preserve"> discontinuous coverage </w:t>
      </w:r>
      <w:r w:rsidR="001C2B8C">
        <w:t xml:space="preserve">techniques can be used as </w:t>
      </w:r>
      <w:r w:rsidR="001265BC">
        <w:t>discussion</w:t>
      </w:r>
      <w:r w:rsidR="001C2B8C">
        <w:t xml:space="preserve"> baseline</w:t>
      </w:r>
      <w:r w:rsidR="001265BC">
        <w:t xml:space="preserve"> on beam hoping</w:t>
      </w:r>
      <w:r w:rsidR="001C2B8C">
        <w:t xml:space="preserve"> techniques</w:t>
      </w:r>
      <w:r w:rsidR="001265BC">
        <w:t xml:space="preserve"> for</w:t>
      </w:r>
      <w:r>
        <w:t xml:space="preserve"> downlink coverage enhanc</w:t>
      </w:r>
      <w:r w:rsidR="001265BC">
        <w:t>ement in RAN2</w:t>
      </w:r>
      <w:r w:rsidR="007C18E7">
        <w:t>.</w:t>
      </w:r>
    </w:p>
    <w:p w14:paraId="75F2FDD9" w14:textId="46603FBE" w:rsidR="001265BC" w:rsidRPr="00602EF0" w:rsidRDefault="001265BC" w:rsidP="001265BC">
      <w:pPr>
        <w:pStyle w:val="Proposal"/>
      </w:pPr>
      <w:r>
        <w:lastRenderedPageBreak/>
        <w:t>W</w:t>
      </w:r>
      <w:r w:rsidR="007C18E7">
        <w:t xml:space="preserve">ait for RAN1 results on system level </w:t>
      </w:r>
      <w:r w:rsidR="00797770">
        <w:t xml:space="preserve">and link level </w:t>
      </w:r>
      <w:r w:rsidR="007C18E7">
        <w:t>aspects that need enhancements and the corresponding needed improvements.</w:t>
      </w:r>
    </w:p>
    <w:p w14:paraId="24058AEA" w14:textId="77777777" w:rsidR="00F85A30" w:rsidRDefault="00F85A30" w:rsidP="009C701A"/>
    <w:p w14:paraId="20D74898" w14:textId="69083376" w:rsidR="00C01F33" w:rsidRPr="00CE0424" w:rsidRDefault="00373D2C"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EB1057" w14:textId="2835EAA2" w:rsidR="001C2B8C" w:rsidRDefault="001C2B8C" w:rsidP="001C2B8C">
      <w:pPr>
        <w:pStyle w:val="Observation"/>
        <w:numPr>
          <w:ilvl w:val="0"/>
          <w:numId w:val="35"/>
        </w:numPr>
      </w:pPr>
      <w:r>
        <w:t>Option 1 and Option 2 are supported in existing NR specifications and are baseline for NR NTN.</w:t>
      </w:r>
    </w:p>
    <w:p w14:paraId="11D00F5E" w14:textId="77777777" w:rsidR="001C2B8C" w:rsidRDefault="001C2B8C" w:rsidP="001C2B8C">
      <w:pPr>
        <w:pStyle w:val="Observation"/>
        <w:numPr>
          <w:ilvl w:val="0"/>
          <w:numId w:val="35"/>
        </w:numPr>
      </w:pPr>
      <w:r>
        <w:t>Satellite beam hoping techniques is well-known and efficient techniques in multi-beam satellite communication system to allow a satellite focusing its radio resources (</w:t>
      </w:r>
      <w:proofErr w:type="spellStart"/>
      <w:r>
        <w:t>Tx</w:t>
      </w:r>
      <w:proofErr w:type="spellEnd"/>
      <w:r>
        <w:t xml:space="preserve"> power and allocated spectrum) on where it is needed (typically according to traffic demand) by selectively illuminating beams.</w:t>
      </w:r>
    </w:p>
    <w:p w14:paraId="0E2CB604" w14:textId="77777777" w:rsidR="001C2B8C" w:rsidRPr="00640824" w:rsidRDefault="001C2B8C" w:rsidP="001C2B8C">
      <w:pPr>
        <w:pStyle w:val="Observation"/>
        <w:numPr>
          <w:ilvl w:val="0"/>
          <w:numId w:val="35"/>
        </w:numPr>
        <w:rPr>
          <w:lang w:eastAsia="en-GB"/>
        </w:rPr>
      </w:pPr>
      <w:r>
        <w:rPr>
          <w:lang w:eastAsia="en-GB"/>
        </w:rPr>
        <w:t>The beam illumination pattern and then, the time a cell could be inactive is constrained by the necessity to transmit control and common signals and allow users to perform RACH.</w:t>
      </w:r>
    </w:p>
    <w:p w14:paraId="7570C759" w14:textId="4D3C072C" w:rsidR="006E1C82" w:rsidRPr="001C2B8C" w:rsidRDefault="001C2B8C" w:rsidP="008E065E">
      <w:pPr>
        <w:pStyle w:val="Observation"/>
        <w:numPr>
          <w:ilvl w:val="0"/>
          <w:numId w:val="35"/>
        </w:numPr>
      </w:pPr>
      <w:r>
        <w:t>Beam management, network energy saving and discontinuous coverage techniques can be used as discussion baseline on beam hoping techniques for downlink coverage enhancement in RAN2.</w:t>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B27773" w14:textId="45EEC390" w:rsidR="008E065E" w:rsidRPr="001C2B8C" w:rsidRDefault="001C2B8C" w:rsidP="001C2B8C">
      <w:pPr>
        <w:pStyle w:val="Proposal"/>
        <w:numPr>
          <w:ilvl w:val="0"/>
          <w:numId w:val="36"/>
        </w:numPr>
      </w:pPr>
      <w:r>
        <w:t>Wait for RAN1 results on system level aspects that need enhancements and the corresponding needed improvements.</w:t>
      </w:r>
    </w:p>
    <w:p w14:paraId="019D623B" w14:textId="77777777" w:rsidR="008E065E" w:rsidRPr="00CE0424" w:rsidRDefault="008E065E" w:rsidP="008E065E">
      <w:pPr>
        <w:rPr>
          <w:b/>
          <w:bCs/>
        </w:rPr>
      </w:pPr>
    </w:p>
    <w:p w14:paraId="7BD5CFC3" w14:textId="77777777" w:rsidR="00F507D1" w:rsidRPr="00CE0424" w:rsidRDefault="00F507D1" w:rsidP="00CE0424">
      <w:pPr>
        <w:pStyle w:val="Heading1"/>
      </w:pPr>
      <w:bookmarkStart w:id="4" w:name="_In-sequence_SDU_delivery"/>
      <w:bookmarkEnd w:id="4"/>
      <w:r w:rsidRPr="00CE0424">
        <w:t>References</w:t>
      </w:r>
    </w:p>
    <w:p w14:paraId="75A2579A" w14:textId="6A82766A" w:rsidR="00CE706A" w:rsidRDefault="00BE0960" w:rsidP="00B55E00">
      <w:pPr>
        <w:pStyle w:val="Reference"/>
      </w:pPr>
      <w:bookmarkStart w:id="5" w:name="_Ref174151459"/>
      <w:bookmarkStart w:id="6" w:name="_Ref189809556"/>
      <w:r w:rsidRPr="00BE0960">
        <w:t>R</w:t>
      </w:r>
      <w:r w:rsidR="00206D87">
        <w:t>P-240775</w:t>
      </w:r>
      <w:r w:rsidRPr="00BE0960">
        <w:t xml:space="preserve">, </w:t>
      </w:r>
      <w:r w:rsidR="00206D87">
        <w:t>Revised</w:t>
      </w:r>
      <w:r w:rsidR="00B55E00" w:rsidRPr="00B55E00">
        <w:t xml:space="preserve"> WID: Non-Terrestrial Networks (NTN) for NR Phase 3</w:t>
      </w:r>
      <w:r w:rsidR="00B55E00">
        <w:t xml:space="preserve">, </w:t>
      </w:r>
      <w:r w:rsidR="00206D87">
        <w:t>RAN#103</w:t>
      </w:r>
      <w:r w:rsidRPr="00BE0960">
        <w:t xml:space="preserve">, </w:t>
      </w:r>
      <w:r w:rsidR="00206D87">
        <w:t>March 18-22</w:t>
      </w:r>
      <w:r w:rsidR="00462B7E">
        <w:t xml:space="preserve"> 2024</w:t>
      </w:r>
      <w:r w:rsidR="00B55E00">
        <w:t xml:space="preserve">, </w:t>
      </w:r>
      <w:r w:rsidR="00206D87">
        <w:t xml:space="preserve">Maastricht, </w:t>
      </w:r>
      <w:proofErr w:type="gramStart"/>
      <w:r w:rsidR="00206D87">
        <w:t>NL</w:t>
      </w:r>
      <w:proofErr w:type="gramEnd"/>
      <w:r w:rsidRPr="00BE0960">
        <w:t>.</w:t>
      </w:r>
      <w:bookmarkEnd w:id="5"/>
      <w:bookmarkEnd w:id="6"/>
    </w:p>
    <w:p w14:paraId="0FD07000" w14:textId="1B2391D9" w:rsidR="00206D87" w:rsidRDefault="00D04636" w:rsidP="00D04636">
      <w:pPr>
        <w:pStyle w:val="Reference"/>
      </w:pPr>
      <w:r>
        <w:t xml:space="preserve">R1-2401937, </w:t>
      </w:r>
      <w:r w:rsidRPr="00D04636">
        <w:t>Report of RAN1#116 meeting</w:t>
      </w:r>
      <w:r>
        <w:t>, RAN1#116bis, April 15-19</w:t>
      </w:r>
      <w:r w:rsidR="00462B7E">
        <w:t xml:space="preserve"> 2024</w:t>
      </w:r>
      <w:r>
        <w:t>, Changsha, CN.</w:t>
      </w:r>
    </w:p>
    <w:p w14:paraId="224B1321" w14:textId="07A1E7FC" w:rsidR="00D04636" w:rsidRDefault="00D04636" w:rsidP="00D04636">
      <w:pPr>
        <w:pStyle w:val="Reference"/>
      </w:pPr>
      <w:r>
        <w:t xml:space="preserve">R1-2401845, </w:t>
      </w:r>
      <w:r w:rsidRPr="00D04636">
        <w:t>FL Summary #3: NR-NTN downlink coverage enhancements</w:t>
      </w:r>
      <w:r>
        <w:t>, RAN1#116, February 26- March 1</w:t>
      </w:r>
      <w:r w:rsidRPr="00D04636">
        <w:rPr>
          <w:vertAlign w:val="superscript"/>
        </w:rPr>
        <w:t>st</w:t>
      </w:r>
      <w:r>
        <w:t>, Athens, GR.</w:t>
      </w:r>
    </w:p>
    <w:p w14:paraId="47CAA4FA" w14:textId="1AA480CB" w:rsidR="001C2B8C" w:rsidRDefault="000F1AA3" w:rsidP="001C2B8C">
      <w:pPr>
        <w:pStyle w:val="Reference"/>
      </w:pPr>
      <w:r w:rsidRPr="000F1AA3">
        <w:t xml:space="preserve">Lin Chen et al, The Next Generation of Beam Hopping </w:t>
      </w:r>
      <w:proofErr w:type="spellStart"/>
      <w:r w:rsidRPr="000F1AA3">
        <w:t>SatelliteSystems</w:t>
      </w:r>
      <w:proofErr w:type="spellEnd"/>
      <w:r w:rsidRPr="000F1AA3">
        <w:t xml:space="preserve">: Dynamic Beam Illumination </w:t>
      </w:r>
      <w:proofErr w:type="spellStart"/>
      <w:r w:rsidRPr="000F1AA3">
        <w:t>WithSelective</w:t>
      </w:r>
      <w:proofErr w:type="spellEnd"/>
      <w:r w:rsidRPr="000F1AA3">
        <w:t xml:space="preserve"> Precoding, IEEE TRANSACTIONS ON WIRELESS COMMUNICATIONS, VOL. 22, NO. 4, APRIL 2023</w:t>
      </w:r>
    </w:p>
    <w:p w14:paraId="33ED9D6D" w14:textId="275D24C6" w:rsidR="00462B7E" w:rsidRDefault="00462B7E" w:rsidP="00462B7E">
      <w:pPr>
        <w:pStyle w:val="Reference"/>
      </w:pPr>
      <w:r>
        <w:t xml:space="preserve">3GPP TS 38.211, </w:t>
      </w:r>
      <w:r w:rsidRPr="00462B7E">
        <w:t>NR; Physical channels and modulation</w:t>
      </w:r>
      <w:r>
        <w:t>, 03-2024.</w:t>
      </w:r>
    </w:p>
    <w:p w14:paraId="3B5878A7" w14:textId="4923853A" w:rsidR="00462B7E" w:rsidRDefault="00462B7E" w:rsidP="00462B7E">
      <w:pPr>
        <w:pStyle w:val="Reference"/>
      </w:pPr>
      <w:r>
        <w:t xml:space="preserve">3GPP TS 38.821, </w:t>
      </w:r>
      <w:r w:rsidRPr="00462B7E">
        <w:tab/>
        <w:t>Solutions for NR to support Non-Terrestrial Networks (NTN)</w:t>
      </w:r>
      <w:r>
        <w:t>, 01-2020.</w:t>
      </w:r>
    </w:p>
    <w:p w14:paraId="72BAD8D6" w14:textId="0BE90AFC" w:rsidR="00462B7E" w:rsidRDefault="00462B7E" w:rsidP="00462B7E">
      <w:pPr>
        <w:pStyle w:val="Reference"/>
      </w:pPr>
      <w:r>
        <w:t xml:space="preserve">RP-230566, </w:t>
      </w:r>
      <w:r w:rsidRPr="00462B7E">
        <w:t>WID revision: Network energy savings for NR</w:t>
      </w:r>
      <w:r>
        <w:t>, March 20-23 2023, Rotterdam, NL.</w:t>
      </w:r>
    </w:p>
    <w:p w14:paraId="06572491" w14:textId="3292C1A0" w:rsidR="00462B7E" w:rsidRDefault="00462B7E" w:rsidP="00462B7E">
      <w:pPr>
        <w:pStyle w:val="Reference"/>
      </w:pPr>
      <w:r>
        <w:t xml:space="preserve">3GPP TR 38.864, </w:t>
      </w:r>
      <w:r w:rsidRPr="00462B7E">
        <w:t>Study on network energy savings for NR</w:t>
      </w:r>
      <w:r>
        <w:t>, 01-2023.</w:t>
      </w:r>
    </w:p>
    <w:p w14:paraId="431AF5AF" w14:textId="3A29A3A3" w:rsidR="00462B7E" w:rsidRPr="00D04636" w:rsidRDefault="00462B7E" w:rsidP="00462B7E">
      <w:pPr>
        <w:pStyle w:val="Reference"/>
      </w:pPr>
      <w:r>
        <w:t xml:space="preserve">3GPP TS 36.300, </w:t>
      </w:r>
      <w:r w:rsidRPr="00462B7E">
        <w:t>Evolved Universal Terrestrial Radio Access (E-UTRA) and Evolved Universal Terrestrial Radio Access Network (E-UTRAN); Overall description; Stage 2</w:t>
      </w:r>
      <w:r>
        <w:t>, 01-2024.</w:t>
      </w:r>
    </w:p>
    <w:sectPr w:rsidR="00462B7E" w:rsidRPr="00D04636"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0B6C2" w14:textId="77777777" w:rsidR="004A7763" w:rsidRDefault="004A7763">
      <w:r>
        <w:separator/>
      </w:r>
    </w:p>
  </w:endnote>
  <w:endnote w:type="continuationSeparator" w:id="0">
    <w:p w14:paraId="278F9C37" w14:textId="77777777" w:rsidR="004A7763" w:rsidRDefault="004A7763">
      <w:r>
        <w:continuationSeparator/>
      </w:r>
    </w:p>
  </w:endnote>
  <w:endnote w:type="continuationNotice" w:id="1">
    <w:p w14:paraId="0C21CCFE" w14:textId="77777777" w:rsidR="004A7763" w:rsidRDefault="004A7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Light">
    <w:altName w:val="Microsoft YaHei U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70A83C3"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360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60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98EC1" w14:textId="77777777" w:rsidR="004A7763" w:rsidRDefault="004A7763">
      <w:r>
        <w:separator/>
      </w:r>
    </w:p>
  </w:footnote>
  <w:footnote w:type="continuationSeparator" w:id="0">
    <w:p w14:paraId="2614525A" w14:textId="77777777" w:rsidR="004A7763" w:rsidRDefault="004A7763">
      <w:r>
        <w:continuationSeparator/>
      </w:r>
    </w:p>
  </w:footnote>
  <w:footnote w:type="continuationNotice" w:id="1">
    <w:p w14:paraId="6D7141EB" w14:textId="77777777" w:rsidR="004A7763" w:rsidRDefault="004A776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372E60AC"/>
    <w:lvl w:ilvl="0" w:tplc="8ED61B2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2A07"/>
    <w:rsid w:val="000534E3"/>
    <w:rsid w:val="0005606A"/>
    <w:rsid w:val="00057117"/>
    <w:rsid w:val="000616E7"/>
    <w:rsid w:val="0006487E"/>
    <w:rsid w:val="00065E1A"/>
    <w:rsid w:val="0007313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1AA3"/>
    <w:rsid w:val="000F3BE9"/>
    <w:rsid w:val="000F3F6C"/>
    <w:rsid w:val="000F6DF3"/>
    <w:rsid w:val="001005FF"/>
    <w:rsid w:val="001037C6"/>
    <w:rsid w:val="001062FB"/>
    <w:rsid w:val="001063E6"/>
    <w:rsid w:val="00113CF4"/>
    <w:rsid w:val="00114AB0"/>
    <w:rsid w:val="001153EA"/>
    <w:rsid w:val="00115643"/>
    <w:rsid w:val="00116765"/>
    <w:rsid w:val="001219F5"/>
    <w:rsid w:val="00121A20"/>
    <w:rsid w:val="0012377F"/>
    <w:rsid w:val="001241DD"/>
    <w:rsid w:val="00124314"/>
    <w:rsid w:val="00125910"/>
    <w:rsid w:val="001265BC"/>
    <w:rsid w:val="00126B4A"/>
    <w:rsid w:val="00132FD0"/>
    <w:rsid w:val="001344C0"/>
    <w:rsid w:val="001346FA"/>
    <w:rsid w:val="00135252"/>
    <w:rsid w:val="00137AB5"/>
    <w:rsid w:val="00137F0B"/>
    <w:rsid w:val="00151E23"/>
    <w:rsid w:val="001526E0"/>
    <w:rsid w:val="001551B5"/>
    <w:rsid w:val="00160157"/>
    <w:rsid w:val="001659C1"/>
    <w:rsid w:val="00173A8E"/>
    <w:rsid w:val="0017502C"/>
    <w:rsid w:val="0018143F"/>
    <w:rsid w:val="00181FF8"/>
    <w:rsid w:val="00190AC1"/>
    <w:rsid w:val="0019341A"/>
    <w:rsid w:val="00197DF9"/>
    <w:rsid w:val="001A1165"/>
    <w:rsid w:val="001A1987"/>
    <w:rsid w:val="001A2564"/>
    <w:rsid w:val="001A6173"/>
    <w:rsid w:val="001A6CBA"/>
    <w:rsid w:val="001B0D97"/>
    <w:rsid w:val="001B5A5D"/>
    <w:rsid w:val="001C1CE5"/>
    <w:rsid w:val="001C2B8C"/>
    <w:rsid w:val="001C3D2A"/>
    <w:rsid w:val="001C5CB8"/>
    <w:rsid w:val="001D51BA"/>
    <w:rsid w:val="001D53E7"/>
    <w:rsid w:val="001D6342"/>
    <w:rsid w:val="001D6D53"/>
    <w:rsid w:val="001E58E2"/>
    <w:rsid w:val="001E7AED"/>
    <w:rsid w:val="001F3916"/>
    <w:rsid w:val="001F3F02"/>
    <w:rsid w:val="001F54C5"/>
    <w:rsid w:val="001F662C"/>
    <w:rsid w:val="001F7074"/>
    <w:rsid w:val="00200490"/>
    <w:rsid w:val="00201F3A"/>
    <w:rsid w:val="00203F96"/>
    <w:rsid w:val="002069B2"/>
    <w:rsid w:val="00206D87"/>
    <w:rsid w:val="00207FA3"/>
    <w:rsid w:val="00214DA8"/>
    <w:rsid w:val="00215423"/>
    <w:rsid w:val="002158FA"/>
    <w:rsid w:val="00216698"/>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3F5"/>
    <w:rsid w:val="003203ED"/>
    <w:rsid w:val="00322C9F"/>
    <w:rsid w:val="00324D23"/>
    <w:rsid w:val="003267B7"/>
    <w:rsid w:val="00331751"/>
    <w:rsid w:val="00334066"/>
    <w:rsid w:val="00334579"/>
    <w:rsid w:val="00335858"/>
    <w:rsid w:val="00336BDA"/>
    <w:rsid w:val="00342BD7"/>
    <w:rsid w:val="00346DB5"/>
    <w:rsid w:val="003477B1"/>
    <w:rsid w:val="00355902"/>
    <w:rsid w:val="00357380"/>
    <w:rsid w:val="003602D9"/>
    <w:rsid w:val="003604CE"/>
    <w:rsid w:val="00370E47"/>
    <w:rsid w:val="00373D2C"/>
    <w:rsid w:val="003742AC"/>
    <w:rsid w:val="00377CE1"/>
    <w:rsid w:val="0038114C"/>
    <w:rsid w:val="00385BF0"/>
    <w:rsid w:val="00387186"/>
    <w:rsid w:val="003939FF"/>
    <w:rsid w:val="00395F90"/>
    <w:rsid w:val="003A2223"/>
    <w:rsid w:val="003A2A0F"/>
    <w:rsid w:val="003A45A1"/>
    <w:rsid w:val="003A5B0A"/>
    <w:rsid w:val="003A5B48"/>
    <w:rsid w:val="003A6BAC"/>
    <w:rsid w:val="003A70A4"/>
    <w:rsid w:val="003A7EF3"/>
    <w:rsid w:val="003B159C"/>
    <w:rsid w:val="003B369F"/>
    <w:rsid w:val="003B36A3"/>
    <w:rsid w:val="003B64BB"/>
    <w:rsid w:val="003B7FE5"/>
    <w:rsid w:val="003C11C8"/>
    <w:rsid w:val="003C2702"/>
    <w:rsid w:val="003C7806"/>
    <w:rsid w:val="003D0108"/>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4FE5"/>
    <w:rsid w:val="00446488"/>
    <w:rsid w:val="004517AA"/>
    <w:rsid w:val="00452CAC"/>
    <w:rsid w:val="00457565"/>
    <w:rsid w:val="00457B71"/>
    <w:rsid w:val="00462B7E"/>
    <w:rsid w:val="004669E2"/>
    <w:rsid w:val="00470C31"/>
    <w:rsid w:val="00471DE0"/>
    <w:rsid w:val="00472B41"/>
    <w:rsid w:val="004734D0"/>
    <w:rsid w:val="0047556B"/>
    <w:rsid w:val="00477768"/>
    <w:rsid w:val="00482004"/>
    <w:rsid w:val="00492BC5"/>
    <w:rsid w:val="004964F1"/>
    <w:rsid w:val="004A16BC"/>
    <w:rsid w:val="004A2B94"/>
    <w:rsid w:val="004A4B33"/>
    <w:rsid w:val="004A7763"/>
    <w:rsid w:val="004B6F6A"/>
    <w:rsid w:val="004B7C0C"/>
    <w:rsid w:val="004C3898"/>
    <w:rsid w:val="004C44F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A5D"/>
    <w:rsid w:val="005202F2"/>
    <w:rsid w:val="005219CF"/>
    <w:rsid w:val="00523E8F"/>
    <w:rsid w:val="00534B59"/>
    <w:rsid w:val="0053662A"/>
    <w:rsid w:val="00536759"/>
    <w:rsid w:val="00537C62"/>
    <w:rsid w:val="005442EF"/>
    <w:rsid w:val="00546970"/>
    <w:rsid w:val="00554E19"/>
    <w:rsid w:val="0056121F"/>
    <w:rsid w:val="00572505"/>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5F762B"/>
    <w:rsid w:val="0060283C"/>
    <w:rsid w:val="00602EF0"/>
    <w:rsid w:val="00604F14"/>
    <w:rsid w:val="00611B83"/>
    <w:rsid w:val="00613257"/>
    <w:rsid w:val="00620A71"/>
    <w:rsid w:val="00620D80"/>
    <w:rsid w:val="00622858"/>
    <w:rsid w:val="006234A6"/>
    <w:rsid w:val="00627A83"/>
    <w:rsid w:val="00630001"/>
    <w:rsid w:val="006311B3"/>
    <w:rsid w:val="0063284C"/>
    <w:rsid w:val="006355B0"/>
    <w:rsid w:val="00636398"/>
    <w:rsid w:val="006368D3"/>
    <w:rsid w:val="006377EC"/>
    <w:rsid w:val="00640824"/>
    <w:rsid w:val="0064151F"/>
    <w:rsid w:val="00641533"/>
    <w:rsid w:val="0064208D"/>
    <w:rsid w:val="00643475"/>
    <w:rsid w:val="0064396A"/>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697B"/>
    <w:rsid w:val="006A7AFF"/>
    <w:rsid w:val="006B1816"/>
    <w:rsid w:val="006B2099"/>
    <w:rsid w:val="006B280D"/>
    <w:rsid w:val="006B50CF"/>
    <w:rsid w:val="006C03B8"/>
    <w:rsid w:val="006C3C35"/>
    <w:rsid w:val="006C5EC9"/>
    <w:rsid w:val="006C6059"/>
    <w:rsid w:val="006C7522"/>
    <w:rsid w:val="006D414C"/>
    <w:rsid w:val="006D4EC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57D0"/>
    <w:rsid w:val="007266E1"/>
    <w:rsid w:val="00726EA6"/>
    <w:rsid w:val="00727208"/>
    <w:rsid w:val="00727680"/>
    <w:rsid w:val="007311B5"/>
    <w:rsid w:val="00732B7B"/>
    <w:rsid w:val="007348B1"/>
    <w:rsid w:val="007362A6"/>
    <w:rsid w:val="00736D7D"/>
    <w:rsid w:val="00740E58"/>
    <w:rsid w:val="007445A0"/>
    <w:rsid w:val="0074524B"/>
    <w:rsid w:val="00747D8B"/>
    <w:rsid w:val="00751228"/>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5490"/>
    <w:rsid w:val="007925EA"/>
    <w:rsid w:val="00793CD8"/>
    <w:rsid w:val="00795C92"/>
    <w:rsid w:val="00796231"/>
    <w:rsid w:val="00797770"/>
    <w:rsid w:val="007A1CB3"/>
    <w:rsid w:val="007A306F"/>
    <w:rsid w:val="007A3648"/>
    <w:rsid w:val="007A43A6"/>
    <w:rsid w:val="007A58A6"/>
    <w:rsid w:val="007B3D2D"/>
    <w:rsid w:val="007B50AE"/>
    <w:rsid w:val="007B51DF"/>
    <w:rsid w:val="007C05DD"/>
    <w:rsid w:val="007C18E7"/>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8C8"/>
    <w:rsid w:val="008B7B5C"/>
    <w:rsid w:val="008C0C99"/>
    <w:rsid w:val="008C2017"/>
    <w:rsid w:val="008C279E"/>
    <w:rsid w:val="008C4958"/>
    <w:rsid w:val="008C4BAA"/>
    <w:rsid w:val="008C6AE8"/>
    <w:rsid w:val="008C7573"/>
    <w:rsid w:val="008D00A5"/>
    <w:rsid w:val="008D34F1"/>
    <w:rsid w:val="008D39D8"/>
    <w:rsid w:val="008D6D1A"/>
    <w:rsid w:val="008E065E"/>
    <w:rsid w:val="008E0927"/>
    <w:rsid w:val="008E1909"/>
    <w:rsid w:val="008E5BA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50DE7"/>
    <w:rsid w:val="00953920"/>
    <w:rsid w:val="00953D47"/>
    <w:rsid w:val="0095681E"/>
    <w:rsid w:val="009572D4"/>
    <w:rsid w:val="00960CD9"/>
    <w:rsid w:val="00961921"/>
    <w:rsid w:val="0096430A"/>
    <w:rsid w:val="0096554B"/>
    <w:rsid w:val="0096584A"/>
    <w:rsid w:val="0097014A"/>
    <w:rsid w:val="00971F08"/>
    <w:rsid w:val="00972891"/>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3AC2"/>
    <w:rsid w:val="009B4DF4"/>
    <w:rsid w:val="009B564E"/>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289"/>
    <w:rsid w:val="00A17F63"/>
    <w:rsid w:val="00A2193B"/>
    <w:rsid w:val="00A2351A"/>
    <w:rsid w:val="00A264A9"/>
    <w:rsid w:val="00A26C3F"/>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792A"/>
    <w:rsid w:val="00A92879"/>
    <w:rsid w:val="00A9442A"/>
    <w:rsid w:val="00AA016F"/>
    <w:rsid w:val="00AA1ED6"/>
    <w:rsid w:val="00AA51D6"/>
    <w:rsid w:val="00AB04F1"/>
    <w:rsid w:val="00AB0BC8"/>
    <w:rsid w:val="00AB11CA"/>
    <w:rsid w:val="00AB14D9"/>
    <w:rsid w:val="00AB360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BF4"/>
    <w:rsid w:val="00B372AA"/>
    <w:rsid w:val="00B40445"/>
    <w:rsid w:val="00B409E0"/>
    <w:rsid w:val="00B41888"/>
    <w:rsid w:val="00B44DBD"/>
    <w:rsid w:val="00B45A52"/>
    <w:rsid w:val="00B46175"/>
    <w:rsid w:val="00B5116B"/>
    <w:rsid w:val="00B548B7"/>
    <w:rsid w:val="00B55E00"/>
    <w:rsid w:val="00B604E8"/>
    <w:rsid w:val="00B664C7"/>
    <w:rsid w:val="00B739F6"/>
    <w:rsid w:val="00B81A6C"/>
    <w:rsid w:val="00B823D3"/>
    <w:rsid w:val="00B85DE5"/>
    <w:rsid w:val="00B90F73"/>
    <w:rsid w:val="00B93B59"/>
    <w:rsid w:val="00B9406A"/>
    <w:rsid w:val="00BA2280"/>
    <w:rsid w:val="00BA2A08"/>
    <w:rsid w:val="00BA56D2"/>
    <w:rsid w:val="00BA76E0"/>
    <w:rsid w:val="00BB2A25"/>
    <w:rsid w:val="00BB51E9"/>
    <w:rsid w:val="00BC0923"/>
    <w:rsid w:val="00BC0FDC"/>
    <w:rsid w:val="00BC3053"/>
    <w:rsid w:val="00BC4D2E"/>
    <w:rsid w:val="00BC5EB0"/>
    <w:rsid w:val="00BC7A4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096"/>
    <w:rsid w:val="00CD1188"/>
    <w:rsid w:val="00CD2ED1"/>
    <w:rsid w:val="00CD337B"/>
    <w:rsid w:val="00CE0424"/>
    <w:rsid w:val="00CE706A"/>
    <w:rsid w:val="00CE7561"/>
    <w:rsid w:val="00CF1354"/>
    <w:rsid w:val="00CF1EAE"/>
    <w:rsid w:val="00CF3B1F"/>
    <w:rsid w:val="00CF3BF6"/>
    <w:rsid w:val="00CF625B"/>
    <w:rsid w:val="00CF687E"/>
    <w:rsid w:val="00CF6D96"/>
    <w:rsid w:val="00D01C98"/>
    <w:rsid w:val="00D0349B"/>
    <w:rsid w:val="00D0387B"/>
    <w:rsid w:val="00D04636"/>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30E9"/>
    <w:rsid w:val="00D77B1D"/>
    <w:rsid w:val="00D8021F"/>
    <w:rsid w:val="00D80383"/>
    <w:rsid w:val="00D823C6"/>
    <w:rsid w:val="00D8327F"/>
    <w:rsid w:val="00D86CA3"/>
    <w:rsid w:val="00D871CE"/>
    <w:rsid w:val="00D9196D"/>
    <w:rsid w:val="00D922BF"/>
    <w:rsid w:val="00D92982"/>
    <w:rsid w:val="00DA2581"/>
    <w:rsid w:val="00DA305E"/>
    <w:rsid w:val="00DA5417"/>
    <w:rsid w:val="00DA56E8"/>
    <w:rsid w:val="00DB03D4"/>
    <w:rsid w:val="00DB0A9F"/>
    <w:rsid w:val="00DB107E"/>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25E33"/>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3FFE"/>
    <w:rsid w:val="00E94F8A"/>
    <w:rsid w:val="00EA175C"/>
    <w:rsid w:val="00EA7A41"/>
    <w:rsid w:val="00EB077B"/>
    <w:rsid w:val="00EB345F"/>
    <w:rsid w:val="00EB4EA2"/>
    <w:rsid w:val="00EC24D5"/>
    <w:rsid w:val="00EC27C6"/>
    <w:rsid w:val="00EC4207"/>
    <w:rsid w:val="00EC5653"/>
    <w:rsid w:val="00EC71CE"/>
    <w:rsid w:val="00ED1006"/>
    <w:rsid w:val="00EF18FE"/>
    <w:rsid w:val="00EF5787"/>
    <w:rsid w:val="00EF60D0"/>
    <w:rsid w:val="00F0528D"/>
    <w:rsid w:val="00F059F9"/>
    <w:rsid w:val="00F06C67"/>
    <w:rsid w:val="00F06DFD"/>
    <w:rsid w:val="00F071D1"/>
    <w:rsid w:val="00F07533"/>
    <w:rsid w:val="00F10629"/>
    <w:rsid w:val="00F107F3"/>
    <w:rsid w:val="00F15FA5"/>
    <w:rsid w:val="00F209B7"/>
    <w:rsid w:val="00F20F5C"/>
    <w:rsid w:val="00F2376F"/>
    <w:rsid w:val="00F243D8"/>
    <w:rsid w:val="00F26A50"/>
    <w:rsid w:val="00F30828"/>
    <w:rsid w:val="00F313D6"/>
    <w:rsid w:val="00F34CA2"/>
    <w:rsid w:val="00F40F0C"/>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215"/>
    <w:rsid w:val="00F75582"/>
    <w:rsid w:val="00F76EFA"/>
    <w:rsid w:val="00F804BE"/>
    <w:rsid w:val="00F817CE"/>
    <w:rsid w:val="00F8456C"/>
    <w:rsid w:val="00F859D8"/>
    <w:rsid w:val="00F85A30"/>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BC5EB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31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9809609-C63E-4D1F-A77C-5B64B4C4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9</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Flavien Ronteix (Thales)</cp:lastModifiedBy>
  <cp:revision>2</cp:revision>
  <cp:lastPrinted>2008-01-31T07:09:00Z</cp:lastPrinted>
  <dcterms:created xsi:type="dcterms:W3CDTF">2024-04-04T20:00:00Z</dcterms:created>
  <dcterms:modified xsi:type="dcterms:W3CDTF">2024-04-04T20:00:00Z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